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keepNext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20"/>
        <w:jc w:val="right"/>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jc w:val="center"/>
        <w:keepLines/>
        <w:keepNext w:val="0"/>
        <w:spacing w:line="360" w:lineRule="auto"/>
        <w:rPr>
          <w:rFonts w:hint="eastAsia" w:ascii="宋体" w:hAnsi="宋体" w:eastAsia="宋体" w:cs="宋体"/>
          <w:color w:val="auto"/>
          <w:spacing w:val="76"/>
          <w:sz w:val="144"/>
          <w:highlight w:val="none"/>
        </w:rPr>
      </w:pPr>
      <w:r>
        <w:rPr>
          <w:rFonts w:hint="eastAsia" w:ascii="宋体" w:hAnsi="宋体" w:eastAsia="宋体" w:cs="宋体"/>
          <w:color w:val="auto"/>
          <w:spacing w:val="76"/>
          <w:sz w:val="144"/>
          <w:highlight w:val="none"/>
        </w:rPr>
        <w:t xml:space="preserve">招标文件</w:t>
      </w:r>
      <w:r/>
    </w:p>
    <w:p>
      <w:pPr>
        <w:pStyle w:val="825"/>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643"/>
        <w:jc w:val="left"/>
        <w:keepLines/>
        <w:keepNext w:val="0"/>
        <w:spacing w:line="360" w:lineRule="auto"/>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新沂市2025年度耕地占补平衡项目</w:t>
      </w:r>
      <w:r/>
    </w:p>
    <w:p>
      <w:pPr>
        <w:ind w:firstLine="643"/>
        <w:jc w:val="left"/>
        <w:keepLines/>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JSZC-320381-JSRY-G2025-0027</w:t>
      </w:r>
      <w:r/>
    </w:p>
    <w:p>
      <w:pPr>
        <w:pStyle w:val="814"/>
        <w:ind w:firstLine="643"/>
        <w:keepLines/>
        <w:keepNext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 购 </w:t>
      </w:r>
      <w:r>
        <w:rPr>
          <w:rFonts w:hint="eastAsia" w:ascii="宋体" w:hAnsi="宋体" w:eastAsia="宋体" w:cs="宋体"/>
          <w:b/>
          <w:bCs/>
          <w:color w:val="auto"/>
          <w:sz w:val="32"/>
          <w:szCs w:val="32"/>
          <w:highlight w:val="none"/>
        </w:rPr>
        <w:t xml:space="preserve">人：</w:t>
      </w:r>
      <w:r>
        <w:rPr>
          <w:rFonts w:hint="eastAsia" w:ascii="宋体" w:hAnsi="宋体" w:cs="宋体"/>
          <w:b/>
          <w:bCs/>
          <w:color w:val="auto"/>
          <w:sz w:val="32"/>
          <w:szCs w:val="32"/>
          <w:highlight w:val="none"/>
          <w:lang w:eastAsia="zh-CN"/>
        </w:rPr>
        <w:t xml:space="preserve">新沂市土地整理中心</w:t>
      </w:r>
      <w:r/>
    </w:p>
    <w:p>
      <w:pPr>
        <w:pStyle w:val="868"/>
        <w:ind w:left="0" w:right="1470" w:firstLine="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1649730</wp:posOffset>
                </wp:positionH>
                <wp:positionV relativeFrom="paragraph">
                  <wp:posOffset>454025</wp:posOffset>
                </wp:positionV>
                <wp:extent cx="2016125" cy="1957705"/>
                <wp:effectExtent l="0" t="0" r="10795" b="8255"/>
                <wp:wrapSquare wrapText="bothSides"/>
                <wp:docPr id="4"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LOGO"/>
                        <pic:cNvPicPr>
                          <a:picLocks noChangeAspect="1"/>
                        </pic:cNvPicPr>
                        <pic:nvPr/>
                      </pic:nvPicPr>
                      <pic:blipFill>
                        <a:blip r:embed="rId17"/>
                        <a:stretch/>
                      </pic:blipFill>
                      <pic:spPr bwMode="auto">
                        <a:xfrm>
                          <a:off x="0" y="0"/>
                          <a:ext cx="2016125" cy="19577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9.9pt;mso-position-horizontal:absolute;mso-position-vertical-relative:text;margin-top:35.8pt;mso-position-vertical:absolute;width:158.8pt;height:154.2pt;mso-wrap-distance-left:9.0pt;mso-wrap-distance-top:0.0pt;mso-wrap-distance-right:9.0pt;mso-wrap-distance-bottom:0.0pt;" stroked="false">
                <v:path textboxrect="0,0,0,0"/>
                <w10:wrap type="square"/>
                <v:imagedata r:id="rId17" o:title=""/>
              </v:shape>
            </w:pict>
          </mc:Fallback>
        </mc:AlternateContent>
      </w:r>
      <w:r/>
    </w:p>
    <w:p>
      <w:pPr>
        <w:pStyle w:val="868"/>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ind w:left="0" w:right="147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ind w:left="0" w:right="1470" w:firstLine="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ind w:left="0" w:right="1470" w:firstLine="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05"/>
        <w:keepLines/>
        <w:keepNext w:val="0"/>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江苏瑞阳工程咨询有限公司</w:t>
      </w:r>
      <w:r/>
    </w:p>
    <w:p>
      <w:pPr>
        <w:pStyle w:val="814"/>
        <w:keepLines/>
        <w:keepNext w:val="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67"/>
        <w:ind w:firstLine="0"/>
        <w:jc w:val="center"/>
        <w:keepLines/>
        <w:keepNext w:val="0"/>
        <w:spacing w:line="360" w:lineRule="auto"/>
        <w:rPr>
          <w:rFonts w:hint="eastAsia" w:ascii="宋体" w:hAnsi="宋体" w:eastAsia="宋体" w:cs="宋体"/>
          <w:b/>
          <w:color w:val="auto"/>
          <w:sz w:val="44"/>
          <w:highlight w:val="none"/>
        </w:rPr>
      </w:pPr>
      <w:r>
        <w:rPr>
          <w:rFonts w:hint="eastAsia" w:ascii="宋体" w:hAnsi="宋体" w:eastAsia="宋体" w:cs="宋体"/>
          <w:b/>
          <w:bCs/>
          <w:color w:val="auto"/>
          <w:sz w:val="30"/>
          <w:szCs w:val="30"/>
          <w:highlight w:val="none"/>
        </w:rPr>
        <w:t xml:space="preserve">二〇二</w:t>
      </w:r>
      <w:r>
        <w:rPr>
          <w:rFonts w:hint="eastAsia" w:ascii="宋体" w:hAnsi="宋体" w:eastAsia="宋体" w:cs="宋体"/>
          <w:b/>
          <w:bCs/>
          <w:color w:val="auto"/>
          <w:sz w:val="30"/>
          <w:szCs w:val="30"/>
          <w:highlight w:val="none"/>
          <w:lang w:val="en-US" w:eastAsia="zh-CN"/>
        </w:rPr>
        <w:t xml:space="preserve">五</w:t>
      </w:r>
      <w:r>
        <w:rPr>
          <w:rFonts w:hint="eastAsia" w:ascii="宋体" w:hAnsi="宋体" w:eastAsia="宋体" w:cs="宋体"/>
          <w:b/>
          <w:bCs/>
          <w:color w:val="auto"/>
          <w:sz w:val="30"/>
          <w:szCs w:val="30"/>
          <w:highlight w:val="none"/>
        </w:rPr>
        <w:t xml:space="preserve">年</w:t>
      </w:r>
      <w:r>
        <w:rPr>
          <w:rFonts w:hint="eastAsia" w:ascii="宋体" w:hAnsi="宋体" w:eastAsia="宋体" w:cs="宋体"/>
          <w:b/>
          <w:bCs/>
          <w:color w:val="auto"/>
          <w:sz w:val="30"/>
          <w:szCs w:val="30"/>
          <w:highlight w:val="none"/>
          <w:lang w:val="en-US" w:eastAsia="zh-CN"/>
        </w:rPr>
        <w:t xml:space="preserve">十</w:t>
      </w:r>
      <w:r>
        <w:rPr>
          <w:rFonts w:hint="eastAsia" w:ascii="宋体" w:hAnsi="宋体" w:cs="宋体"/>
          <w:b/>
          <w:bCs/>
          <w:color w:val="auto"/>
          <w:sz w:val="30"/>
          <w:szCs w:val="30"/>
          <w:highlight w:val="none"/>
          <w:lang w:val="en-US" w:eastAsia="zh-CN"/>
        </w:rPr>
        <w:t xml:space="preserve">二</w:t>
      </w:r>
      <w:r>
        <w:rPr>
          <w:rFonts w:hint="eastAsia" w:ascii="宋体" w:hAnsi="宋体" w:eastAsia="宋体" w:cs="宋体"/>
          <w:b/>
          <w:bCs/>
          <w:color w:val="auto"/>
          <w:sz w:val="30"/>
          <w:szCs w:val="30"/>
          <w:highlight w:val="none"/>
        </w:rPr>
        <w:t xml:space="preserve">月</w:t>
      </w:r>
      <w:r/>
    </w:p>
    <w:p>
      <w:pPr>
        <w:pStyle w:val="867"/>
        <w:ind w:firstLine="0"/>
        <w:jc w:val="center"/>
        <w:keepLines/>
        <w:keepNext w:val="0"/>
        <w:spacing w:line="360" w:lineRule="auto"/>
        <w:rPr>
          <w:rFonts w:hint="eastAsia" w:ascii="宋体" w:hAnsi="宋体" w:eastAsia="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eastAsia="宋体" w:cs="宋体"/>
          <w:b/>
          <w:color w:val="auto"/>
          <w:sz w:val="44"/>
          <w:highlight w:val="none"/>
        </w:rPr>
      </w:r>
      <w:r/>
    </w:p>
    <w:p>
      <w:pPr>
        <w:pStyle w:val="867"/>
        <w:ind w:firstLine="0"/>
        <w:jc w:val="center"/>
        <w:keepLines/>
        <w:keepNext w:val="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keepNext w:val="0"/>
        <w:spacing w:line="360" w:lineRule="auto"/>
        <w:widowControl/>
        <w:rPr>
          <w:rFonts w:hint="eastAsia" w:ascii="宋体" w:hAnsi="宋体" w:eastAsia="宋体" w:cs="宋体"/>
          <w:color w:val="auto"/>
          <w:sz w:val="28"/>
          <w:szCs w:val="28"/>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8"/>
          <w:szCs w:val="28"/>
          <w:highlight w:val="none"/>
        </w:rPr>
      </w:r>
      <w:r/>
    </w:p>
    <w:p>
      <w:pPr>
        <w:numPr>
          <w:ilvl w:val="0"/>
          <w:numId w:val="2"/>
        </w:numPr>
        <w:jc w:val="center"/>
        <w:keepLines/>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投标邀请</w:t>
      </w:r>
      <w:r/>
    </w:p>
    <w:p>
      <w:pPr>
        <w:pStyle w:val="814"/>
        <w:numPr>
          <w:ilvl w:val="0"/>
          <w:numId w:val="0"/>
        </w:numPr>
        <w:keepLines/>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江苏瑞阳工程咨询有限公司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新沂市2025年度耕地占补平衡项目</w:t>
      </w:r>
      <w:r>
        <w:rPr>
          <w:rFonts w:hint="eastAsia" w:ascii="宋体" w:hAnsi="宋体" w:eastAsia="宋体" w:cs="宋体"/>
          <w:color w:val="auto"/>
          <w:sz w:val="24"/>
          <w:highlight w:val="none"/>
        </w:rPr>
        <w:t xml:space="preserve">进行公开招标采购，现欢迎符合相关条件的供应商投标。</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新沂市2025年度耕地占补平衡项目</w:t>
      </w:r>
      <w:r/>
    </w:p>
    <w:p>
      <w:pPr>
        <w:ind w:firstLine="480"/>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JSZC-320381-JSRY-G2025-0027</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二、投标人的资格要求：</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本项目采用网上注册登记方式。</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潜在投标人访问电子招标投标交易平台的网络地址和方法：</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（5）招标代理机构（采购代理机构）将数据电文形式的招标文件加载至“苏采云”系统，供潜在投标人下载或者查阅。</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3.“苏采云”系统使用谷歌浏览器参与不见面开标。</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4.售价：免费。</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jc w:val="left"/>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1.投标截止时间：</w:t>
      </w:r>
      <w:r>
        <w:rPr>
          <w:rFonts w:hint="eastAsia" w:ascii="宋体" w:hAnsi="宋体" w:cs="宋体"/>
          <w:color w:val="auto"/>
          <w:sz w:val="24"/>
          <w:highlight w:val="none"/>
          <w:lang w:eastAsia="zh-CN"/>
        </w:rPr>
        <w:t xml:space="preserve">2025年12月29日北京时间09：30</w:t>
      </w:r>
      <w:r/>
    </w:p>
    <w:p>
      <w:pPr>
        <w:ind w:firstLine="480"/>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2.开标时间：</w:t>
      </w:r>
      <w:r>
        <w:rPr>
          <w:rFonts w:hint="eastAsia" w:ascii="宋体" w:hAnsi="宋体" w:cs="宋体"/>
          <w:color w:val="auto"/>
          <w:sz w:val="24"/>
          <w:highlight w:val="none"/>
          <w:lang w:eastAsia="zh-CN"/>
        </w:rPr>
        <w:t xml:space="preserve">2025年12月29日北京时间09：30</w:t>
      </w:r>
      <w:r/>
    </w:p>
    <w:p>
      <w:pPr>
        <w:ind w:firstLine="480"/>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3.开标地点：“苏采云”系统（网址： http://jszfcg.jsczt.cn/）“开标大厅”或进入徐州政府采购网（网址：http://czj.xz.gov.cn/Home/HomeIndex）-业务工作-用户登录，点击“苏采云”进入系统“开标大厅”。</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名称：新沂市土地整理中心 </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地址：新沂市公园路28号国土资源大厦 </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联系人：李晓琳  </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联系方式：13815331567 </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江苏瑞阳工程咨询有限公司</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徐州市云龙区绿地商务城D座5层</w:t>
      </w:r>
      <w:r/>
    </w:p>
    <w:p>
      <w:pPr>
        <w:ind w:firstLine="480"/>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联系方法：</w:t>
      </w:r>
      <w:r>
        <w:rPr>
          <w:rFonts w:hint="eastAsia" w:ascii="宋体" w:hAnsi="宋体" w:eastAsia="宋体" w:cs="宋体"/>
          <w:color w:val="auto"/>
          <w:sz w:val="24"/>
          <w:highlight w:val="none"/>
          <w:lang w:eastAsia="zh-CN"/>
        </w:rPr>
        <w:t xml:space="preserve">宋雅、孙玉琦</w:t>
      </w:r>
      <w:r>
        <w:rPr>
          <w:rFonts w:hint="eastAsia" w:ascii="宋体" w:hAnsi="宋体" w:eastAsia="宋体" w:cs="宋体"/>
          <w:color w:val="auto"/>
          <w:sz w:val="24"/>
          <w:highlight w:val="none"/>
          <w:lang w:val="en-US" w:eastAsia="zh-CN"/>
        </w:rPr>
        <w:t xml:space="preserve">0516-83200699</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采购项目联系人：</w:t>
      </w:r>
      <w:r>
        <w:rPr>
          <w:rFonts w:hint="eastAsia" w:ascii="宋体" w:hAnsi="宋体" w:eastAsia="宋体" w:cs="宋体"/>
          <w:color w:val="auto"/>
          <w:sz w:val="24"/>
          <w:highlight w:val="none"/>
          <w:lang w:eastAsia="zh-CN"/>
        </w:rPr>
        <w:t xml:space="preserve">宋雅、孙玉琦</w:t>
      </w:r>
      <w:r>
        <w:rPr>
          <w:rFonts w:hint="eastAsia" w:ascii="宋体" w:hAnsi="宋体" w:eastAsia="宋体" w:cs="宋体"/>
          <w:color w:val="auto"/>
          <w:sz w:val="24"/>
          <w:highlight w:val="none"/>
          <w:lang w:val="en-US" w:eastAsia="zh-CN"/>
        </w:rPr>
        <w:t xml:space="preserve">0516-83200699</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p>
      <w:pPr>
        <w:jc w:val="cente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u w:val="single"/>
        </w:rPr>
        <w:br w:type="page" w:clear="all"/>
      </w:r>
      <w:r>
        <w:rPr>
          <w:rFonts w:hint="eastAsia" w:ascii="宋体" w:hAnsi="宋体" w:eastAsia="宋体" w:cs="宋体"/>
          <w:b/>
          <w:bCs/>
          <w:color w:val="auto"/>
          <w:sz w:val="30"/>
          <w:szCs w:val="30"/>
          <w:highlight w:val="none"/>
        </w:rPr>
        <w:t xml:space="preserve">第二章  投标人须知</w:t>
      </w:r>
      <w:r/>
    </w:p>
    <w:p>
      <w:pPr>
        <w:jc w:val="cente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目录</w:t>
      </w:r>
      <w:r/>
    </w:p>
    <w:p>
      <w:pPr>
        <w:ind w:left="42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四、开标、评标</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五、中标和合同</w:t>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六、询问和质疑</w:t>
      </w:r>
      <w:r/>
    </w:p>
    <w:p>
      <w:pPr>
        <w:jc w:val="center"/>
        <w:keepLines/>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b/>
          <w:bCs/>
          <w:color w:val="auto"/>
          <w:sz w:val="30"/>
          <w:szCs w:val="30"/>
          <w:highlight w:val="none"/>
        </w:rPr>
        <w:t xml:space="preserve">一、总则</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采购人</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1.1采购人是指依法进行政府采购的国家机关、事业单位、团体组织。本项目采购人：见招标文件第三章《投标资料表》。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政府采购方式</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2.1政府采购货物和服务（以下简称货物服务）招标分为公开招标和邀请招标。本次采购采用的政府采购方式：见招标文件第三章《投标资料表》。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采购人应当在货物服务招标投标活动中落实节约能源、保护环境、扶持不发达地区和少数民族地区、促进中小企业发展等政府采购政策。</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采购人委托采购代理机构代理招标的，采购代理机构应当在采购人委托的范围内依法开展采购活动。本项目采购代理机构：见招标文件第三章《投标资料表》。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投标费用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投标人应承担所有与准备和参加投标有关的费用，无论投标的结果如何，采购人和采购代理机构对上述费用不承担任何责任和义务。</w:t>
      </w:r>
      <w:r/>
    </w:p>
    <w:p>
      <w:pPr>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二、招标</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招标文件的内容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7.1招标文件包括以下内容：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 投标邀请</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 投标人须知</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 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评标标准</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 拟签订的合同文本</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 采购需求</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第七章 投标文件相关格式</w:t>
      </w:r>
      <w:r/>
    </w:p>
    <w:p>
      <w:pPr>
        <w:ind w:firstLine="36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 采购需求：见招标文件第六章《采购需求》。</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采购项目预算金额、最高限价</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采购项目预算金额：见招标文件第三章《投标资料表》。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 样品</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10.1本项目对样品的要求：见招标文件第三章《投标资料表》。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投标有效期</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11.1投标有效期从提交投标文件的截止之日起算。</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11.2投标有效期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招标文件售价</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12.1招标文件售价：见招标文件第三章《投标资料表》。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采购代理机构代理费用的收取标准和方式</w:t>
      </w:r>
      <w:r/>
    </w:p>
    <w:p>
      <w:p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采购代理机构代理费用的收取标准和方式：见招标文件第三章《投标资料表》。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现场考察或者开标前答疑会</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在招标文件提供期限截止后。</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现场考察：见招标文件第三章《投标资料表》。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开标前答疑会：见招标文件第三章《投标资料表》。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招标文件的澄清或者修改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终止招标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投标人信用信息查询渠道及截止时点、信用信息查询记录和证据留存的具体方式、信用信息的使用规则等：见招标文件第三章《投标资料表》。</w:t>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三、投标</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18. 投标人</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投标人，是指响应招标、参加投标竞争的法人、其他组织或者自然人。</w:t>
      </w:r>
      <w:r/>
    </w:p>
    <w:p>
      <w:pPr>
        <w:ind w:firstLine="465"/>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投标人应当遵循公平竞争的原则，不得恶意串通，不得妨碍其他投标人的竞争行为，不得损害采购人或者其他投标人的合法权益。</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投标人的资格要求：见招标文件第三章《投标资料表》。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投标文件</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投标人应当按照招标文件的要求编制投标文件。投标文件应当对招标文件提出的要求和条件作出明确响应。</w:t>
      </w:r>
      <w:r/>
    </w:p>
    <w:p>
      <w:pPr>
        <w:ind w:firstLine="24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19.2 投标文件编制要求：见招标文件第三章《投标资料表》。</w:t>
      </w:r>
      <w:r/>
    </w:p>
    <w:p>
      <w:pPr>
        <w:pStyle w:val="868"/>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19.3电子投标文件其他要求</w:t>
      </w:r>
      <w:r/>
    </w:p>
    <w:p>
      <w:pPr>
        <w:pStyle w:val="868"/>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（1）电子招标投标交易平台（即“苏采云”系统）相关要求是本招标文件的组成部分。</w:t>
      </w:r>
      <w:r/>
    </w:p>
    <w:p>
      <w:pPr>
        <w:pStyle w:val="868"/>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（2）投标人应对CA证书妥善保管，如被他人盗用投标，因此带来的结果均由投标人自行承担。</w:t>
      </w:r>
      <w:r/>
    </w:p>
    <w:p>
      <w:pPr>
        <w:pStyle w:val="868"/>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（3）投标人应当对招标文件提出的实质性要求和条件作出实质性响应，并在电子投标系统逐条应答。</w:t>
      </w:r>
      <w:r/>
    </w:p>
    <w:p>
      <w:pPr>
        <w:pStyle w:val="868"/>
        <w:ind w:left="0"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（4）投标人应对要求提供的资格证明文件（如资质证书、资格证书）、技术资料（如白皮书、彩页、手册、检测报告等）扫描上传至投标系统。</w:t>
      </w:r>
      <w:r/>
    </w:p>
    <w:p>
      <w:pPr>
        <w:ind w:firstLine="24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19.4 投标文件的份数：见招标文件第三章《投标资料表》。</w:t>
      </w:r>
      <w:r/>
    </w:p>
    <w:p>
      <w:pPr>
        <w:ind w:firstLine="24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19.5 投标文件的退还：见招标文件第三章《投标资料表》。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 投标文件的密封、签署、盖章要求：见招标文件第三章《投标资料表》。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19.7投标文件中承诺的投标有效期应当不少于招标文件中载明的投标有效期。</w:t>
      </w:r>
      <w:r/>
    </w:p>
    <w:p>
      <w:pPr>
        <w:ind w:firstLine="482"/>
        <w:keepLines/>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19.8 投标人应当在招标文件要求提交投标文件的截止时间前，将投标文件提交至“苏采云”系统，逾期提交的投标文件，“苏采云”系统将自动拒收。各投标人应在规定时间内凭CA证书进行网上解密。</w:t>
      </w:r>
      <w:r/>
    </w:p>
    <w:p>
      <w:pPr>
        <w:ind w:firstLine="482"/>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19.9 投标人在投标截止时间前，可以对所提交的投标文件进行补充、修改或者撤回。</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 投标报价要求</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投标人应按照招标文件的要求报出分项价格和总价。</w:t>
      </w:r>
      <w:r/>
    </w:p>
    <w:p>
      <w:p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 投标人应按照招标文件的要求进行报价，如有偏离，应在《偏离表》中列出。</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 </w:t>
      </w:r>
      <w:r>
        <w:rPr>
          <w:rFonts w:hint="eastAsia" w:ascii="宋体" w:hAnsi="宋体" w:eastAsia="宋体" w:cs="宋体"/>
          <w:bCs/>
          <w:color w:val="auto"/>
          <w:sz w:val="24"/>
          <w:highlight w:val="none"/>
        </w:rPr>
        <w:t xml:space="preserve">采购人不支付报价以外的任何费用。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20.4 投标人的投标报价在合同执行过程中是固定的，不得以任何理由予以变更。</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20.5投标人只能提交一个投标报价，提交2个以上投标报价的投标文件在符合性审查时按照投标无效处理。</w:t>
      </w:r>
      <w:r/>
    </w:p>
    <w:p>
      <w:pPr>
        <w:ind w:firstLine="480"/>
        <w:keepLines/>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20.6 </w:t>
      </w:r>
      <w:r>
        <w:rPr>
          <w:rFonts w:hint="eastAsia" w:ascii="宋体" w:hAnsi="宋体" w:eastAsia="宋体" w:cs="宋体"/>
          <w:bCs/>
          <w:color w:val="auto"/>
          <w:sz w:val="24"/>
          <w:highlight w:val="none"/>
        </w:rPr>
        <w:t xml:space="preserve">不接受超过采购项目预算金额的投标报价。具体</w:t>
      </w:r>
      <w:r>
        <w:rPr>
          <w:rFonts w:hint="eastAsia" w:ascii="宋体" w:hAnsi="宋体" w:eastAsia="宋体" w:cs="宋体"/>
          <w:color w:val="auto"/>
          <w:sz w:val="24"/>
          <w:highlight w:val="none"/>
        </w:rPr>
        <w:t xml:space="preserve">见招标文件第三章《投标资料表》</w:t>
      </w:r>
      <w:r>
        <w:rPr>
          <w:rFonts w:hint="eastAsia" w:ascii="宋体" w:hAnsi="宋体" w:eastAsia="宋体" w:cs="宋体"/>
          <w:bCs/>
          <w:color w:val="auto"/>
          <w:sz w:val="24"/>
          <w:highlight w:val="none"/>
        </w:rPr>
        <w:t xml:space="preserve">。</w:t>
      </w:r>
      <w:r/>
    </w:p>
    <w:p>
      <w:pPr>
        <w:ind w:firstLine="482"/>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21.投标人不需</w:t>
      </w:r>
      <w:r>
        <w:rPr>
          <w:rFonts w:hint="eastAsia" w:ascii="宋体" w:hAnsi="宋体" w:eastAsia="宋体" w:cs="宋体"/>
          <w:b/>
          <w:bCs/>
          <w:color w:val="auto"/>
          <w:sz w:val="24"/>
          <w:highlight w:val="none"/>
          <w:lang w:eastAsia="zh-CN"/>
        </w:rPr>
        <w:t xml:space="preserve">缴纳</w:t>
      </w:r>
      <w:r>
        <w:rPr>
          <w:rFonts w:hint="eastAsia" w:ascii="宋体" w:hAnsi="宋体" w:eastAsia="宋体" w:cs="宋体"/>
          <w:b/>
          <w:bCs/>
          <w:color w:val="auto"/>
          <w:sz w:val="24"/>
          <w:highlight w:val="none"/>
        </w:rPr>
        <w:t xml:space="preserve">投标保证金。</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22.投标截止时间、投标文件开始接收时间、投标文件接收截止时间、投标文件的接收地点：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22.1投标截止时间：见招标文件第三章《投标资料表》。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22.2投标文件开始接收时间、投标文件接收截止时间、投标文件的接收地点：见招标文件第三章《投标资料表》。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本项目不允许转包、分包。</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相同品牌产品投标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 非单一产品采购项目，采购人应当根据采购项</w:t>
      </w:r>
      <w:r>
        <w:rPr>
          <w:rFonts w:hint="eastAsia" w:ascii="宋体" w:hAnsi="宋体" w:eastAsia="宋体" w:cs="宋体"/>
          <w:color w:val="auto"/>
          <w:sz w:val="24"/>
          <w:highlight w:val="none"/>
          <w:lang w:eastAsia="zh-CN"/>
        </w:rPr>
        <w:t xml:space="preserve">目的</w:t>
      </w:r>
      <w:r>
        <w:rPr>
          <w:rFonts w:hint="eastAsia" w:ascii="宋体" w:hAnsi="宋体" w:eastAsia="宋体" w:cs="宋体"/>
          <w:color w:val="auto"/>
          <w:sz w:val="24"/>
          <w:highlight w:val="none"/>
        </w:rPr>
        <w:t xml:space="preserve">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有下列情形之一的，视为投标人串通投标，其投标无效：</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（一）不同投标人的投标文件由同一单位或者个人编制；</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（二）不同投标人委托同一单位或者个人办理投标事宜；</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（三）不同投标人的投标文件载明的项目管理成员或者联系人员为同一人；</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（四）不同投标人的投标文件异常一致或者投标报价呈规律性差异；</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（五）不同投标人的投标文件相互混装。</w:t>
      </w:r>
      <w:r/>
    </w:p>
    <w:p>
      <w:pPr>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四、开标、评标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 开标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 开标由采购人或者采购代理机构主持，邀请投标人参加。</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26.3所有投标单位凭CA证书在到达开标时间时，解密各自投标文件，由工作人员操作系统进行开标、并宣读各投标人的《开标一览表》；招标文件规定的需要宣布的内容：见招标文件第三章《投标资料表》。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投标人不足3家的，不得开标。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26.4开标过程应当由采购人或者采购代理机构负责记录，由参加开标的各投标人代表和相关工作人员签字确认后随采购文件一并存档。</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投标人未参加开标的，视同认可开标结果。</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27.评标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公开招标采购项目开标结束后，采购人依法对投标人的资格进行审查。</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合格投标人不足3家的，不得评标。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 评标工作由采购代理机构负责组织，并履行下列职责：</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（二）宣布评标纪律；</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（三）公布投标人名单，告知评审专家应当回避的情形；</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（四）组织评标委员会推选评标组长，采购人代表不得担任组长；</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（五）在评标期间采取必要的通讯管理措施，保证评标活动不受外界干扰；</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（六）根据评标委员会的要求介绍政府采购相关政策法规、招标文件；</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（八）核对评标结果，有《</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"http://www.caigou2003.com/"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政府采购</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（九）评审工作完成后，按照规定向评审专家支付劳务报酬和异地评审差旅费，不得向评审专家以外的其他人员支付评审劳务报酬；</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（十）处理与评标有关的其他事项。</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27.3 评标委员会负责具体评标事务，并独立履行下列职责：</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（一）审查、评价投标文件是否符合招标文件的商务、技术等实质性要求；</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（二）要求投标人对投标文件有关事项作出澄清或者说明；</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（三）对投标文件进行比较和评价；</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（四）确定中标候选人名单，以及根据采购人委托直接确定中标人；</w:t>
      </w:r>
      <w:r/>
    </w:p>
    <w:p>
      <w:pPr>
        <w:ind w:firstLine="36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（五）向采购人、采购代理机构或者有关部门报告评标中发现的违法行为。</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 评标委员会应当对符合资格的投标人的投标文件进行符合性审查，以确定其是否满足招标文件的实质性要求。</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 评标委员会应当按照招标文件中规定的评标方法和标准，对符合性审查合格的投标文件进行商务和技术评估，综合比较与评价。</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评标方法、评标标准。 </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评标方法分为最低评标价法和综合评分法。本项目的评标方法：见招标文件第三章《投标资料表》。</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本项目的评标标准：见招标文件第四章《评标标准》。</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投标文件报价出现前后不一致的，除招标文件另有规定外，按照下列规定修正：</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（一）投标文件中开标一览表（报价表）内容与投标文件中相应内容不一致的，以开标一览表（报价表）为准；</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（二）大写金额和小写金额不一致的，以大写金额为准；</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（三）单价金额小数点或者百分比有明显错位的，以开标一览表的总价为准，并修改单价；</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（四）总价金额与按单价汇总金额不一致的，以单价金额计算结果为准。</w:t>
      </w:r>
      <w:r/>
    </w:p>
    <w:p>
      <w:pPr>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同时出现两种以上不一致的，按照前款规定的顺序修正。修正后的报价按照第29条第二款的规定经投标人确认后产生约束力，投标人不确认的，其投标无效。</w:t>
      </w:r>
      <w:r/>
    </w:p>
    <w:p>
      <w:pPr>
        <w:numPr>
          <w:ilvl w:val="0"/>
          <w:numId w:val="3"/>
        </w:num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评标委员会认为投标人的报价明显低于其他通过符合性审</w:t>
      </w:r>
      <w:r>
        <w:rPr>
          <w:rFonts w:hint="eastAsia" w:ascii="宋体" w:hAnsi="宋体" w:eastAsia="宋体" w:cs="宋体"/>
          <w:color w:val="auto"/>
          <w:sz w:val="24"/>
          <w:highlight w:val="none"/>
          <w:lang w:eastAsia="zh-CN"/>
        </w:rPr>
        <w:t xml:space="preserve">查的</w:t>
      </w:r>
      <w:r>
        <w:rPr>
          <w:rFonts w:hint="eastAsia" w:ascii="宋体" w:hAnsi="宋体" w:eastAsia="宋体" w:cs="宋体"/>
          <w:color w:val="auto"/>
          <w:sz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1.投标(响应)报价低于采购项目预算50%的，即投标(响应)报价&lt;采购项目预算×50%；</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2.投标(响应)报价低于采购项目最高限价45%的，即投标(响应)报价&lt;采购项目最高限价×45%；</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3.评审委员会认定的供应商报价过低、有可能影响产品质量或者不能诚信履约的其他情形。</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keepNext w:val="0"/>
        <w:pageBreakBefore w:val="0"/>
        <w:spacing w:line="360" w:lineRule="auto"/>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eastAsia="zh-CN"/>
        </w:rPr>
        <w:t xml:space="preserve">相关内容和要求见：《中华人民共和国政府采购法》、《中华人民共和国政府采购法实施条例》、《政府采购货物和服务招标投标管理办法》</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（财库〔2015〕124号文件</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lang w:eastAsia="zh-CN"/>
        </w:rPr>
        <w:t xml:space="preserve">。</w:t>
      </w:r>
      <w:r/>
    </w:p>
    <w:p>
      <w:pPr>
        <w:pStyle w:val="825"/>
        <w:numPr>
          <w:ilvl w:val="0"/>
          <w:numId w:val="0"/>
        </w:numPr>
        <w:ind w:right="0"/>
        <w:rPr>
          <w:rFonts w:hint="eastAsia" w:ascii="宋体" w:hAnsi="宋体" w:eastAsia="宋体" w:cs="宋体"/>
          <w:highlight w:val="none"/>
        </w:rPr>
      </w:pPr>
      <w:r>
        <w:rPr>
          <w:rFonts w:hint="eastAsia" w:ascii="宋体" w:hAnsi="宋体" w:eastAsia="宋体" w:cs="宋体"/>
          <w:highlight w:val="none"/>
        </w:rPr>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投标人存在下列情况之一的，投标无效</w:t>
      </w:r>
      <w:r>
        <w:rPr>
          <w:rFonts w:hint="eastAsia" w:ascii="宋体" w:hAnsi="宋体" w:eastAsia="宋体" w:cs="宋体"/>
          <w:color w:val="auto"/>
          <w:sz w:val="24"/>
          <w:highlight w:val="none"/>
          <w:lang w:eastAsia="zh-CN"/>
        </w:rPr>
        <w:t xml:space="preserve">：</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（一）投标文件未按招标文件要求签署、盖章的；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（二）不具备招标文件中规定的资格要求的；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（三）报价超过招标文件中规定的预算金额或者最高限价的；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（四）投标文件含有采购人不能接受的附加条件的；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（五）投标人未在规定时间内解密电子投标文件的；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（六）投标文件未按招标文件规定的内容和要求填写的；没有在投标系统指定位置上传对应文件、材料的；</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和招标文件规定的其他无效情形。</w:t>
      </w:r>
      <w:r/>
    </w:p>
    <w:p>
      <w:pPr>
        <w:ind w:firstLine="480"/>
        <w:jc w:val="left"/>
        <w:keepLines/>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37.废标条款。</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出现下列情形之一的，应予废标：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（一）符合专业条件的投标人或者对招标文件作实质响应的投标人不足三家的；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（二）出现影响采购公正的违法、违规行为的；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（三）投标人的报价均超过了采购预算，采购人不能支付的；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（四）因重大变故，采购任务取消的。</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五、中标和合同</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确定中标人</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采购代理机构应当在评标结束后2个工作日内将评标报告送采购人。</w:t>
      </w:r>
      <w:r/>
    </w:p>
    <w:p>
      <w:pPr>
        <w:ind w:firstLine="465"/>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80"/>
        <w:jc w:val="left"/>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 中标通知书发出后，采购人不得违法改变中标结果，中标人无正当理由不得放弃中标。</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41.签订政府采购合同</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keepLines/>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41.3 政府采购合同应当包括采购人与中标人的名称和住所、标的、数量、质量、价款或者报酬、履行期限及地点和方式、验收要求、违约责任、解决争议的方法等内</w:t>
      </w:r>
      <w:r>
        <w:rPr>
          <w:rFonts w:hint="eastAsia" w:ascii="宋体" w:hAnsi="宋体" w:eastAsia="宋体" w:cs="宋体"/>
          <w:color w:val="auto"/>
          <w:highlight w:val="none"/>
        </w:rPr>
        <w:t xml:space="preserve">容。</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采购人与中标人应当根据合同的约定依法履行合同义务。</w:t>
      </w:r>
      <w:r/>
    </w:p>
    <w:p>
      <w:pPr>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政府采购合同的履行、违约责任和解决争议的方法等适用《中华人民共和国民法典》。</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六、询问和质疑</w:t>
      </w:r>
      <w:r/>
    </w:p>
    <w:p>
      <w:pPr>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highlight w:val="none"/>
        </w:rPr>
        <w:t xml:space="preserve">  43. 询问和质疑</w:t>
      </w:r>
      <w:r/>
    </w:p>
    <w:p>
      <w:pPr>
        <w:ind w:firstLine="480"/>
        <w:keepLines/>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ascii="宋体" w:hAnsi="宋体" w:eastAsia="宋体" w:cs="宋体"/>
          <w:color w:val="auto"/>
          <w:sz w:val="24"/>
          <w:szCs w:val="32"/>
          <w:highlight w:val="none"/>
        </w:rPr>
        <w:t xml:space="preserve">供应商对同一采购程序环节的质疑应在质疑期内一次性提出，</w:t>
      </w:r>
      <w:r>
        <w:rPr>
          <w:rFonts w:hint="eastAsia" w:ascii="宋体" w:hAnsi="宋体" w:eastAsia="宋体" w:cs="宋体"/>
          <w:color w:val="auto"/>
          <w:sz w:val="24"/>
          <w:highlight w:val="none"/>
        </w:rPr>
        <w:t xml:space="preserve">询问和质疑由采购代理机构依法处理。</w:t>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keepNext w:val="0"/>
        <w:pageBreakBefore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第三章  投标资料表</w:t>
      </w:r>
      <w:r/>
    </w:p>
    <w:p>
      <w:pPr>
        <w:pStyle w:val="962"/>
        <w:ind w:firstLine="480"/>
        <w:keepLines/>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809"/>
        <w:tblW w:w="9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条款项号</w:t>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tc>
      </w:tr>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一、总则</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本项目采购人：</w:t>
            </w:r>
            <w:r>
              <w:rPr>
                <w:rFonts w:hint="eastAsia" w:ascii="宋体" w:hAnsi="宋体" w:cs="宋体"/>
                <w:color w:val="auto"/>
                <w:sz w:val="24"/>
                <w:highlight w:val="none"/>
                <w:lang w:eastAsia="zh-CN"/>
              </w:rPr>
              <w:t xml:space="preserve">新沂市土地整理中心</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 </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本项目采购代理机构：</w:t>
            </w:r>
            <w:r>
              <w:rPr>
                <w:rFonts w:hint="eastAsia" w:ascii="宋体" w:hAnsi="宋体" w:eastAsia="宋体" w:cs="宋体"/>
                <w:color w:val="auto"/>
                <w:sz w:val="24"/>
                <w:highlight w:val="none"/>
                <w:lang w:eastAsia="zh-CN"/>
              </w:rPr>
              <w:t xml:space="preserve">江苏瑞阳工程咨询有限公司</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二、招标</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lang w:val="en-US"/>
              </w:rPr>
            </w:pPr>
            <w:r>
              <w:rPr>
                <w:rFonts w:hint="eastAsia" w:ascii="宋体" w:hAnsi="宋体" w:eastAsia="宋体" w:cs="宋体"/>
                <w:b/>
                <w:bCs/>
                <w:color w:val="auto"/>
                <w:sz w:val="24"/>
                <w:highlight w:val="none"/>
              </w:rPr>
              <w:t xml:space="preserve">采购项目预算金额</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41070万元</w:t>
            </w:r>
            <w:r>
              <w:rPr>
                <w:rFonts w:hint="eastAsia" w:ascii="宋体" w:hAnsi="宋体" w:eastAsia="宋体" w:cs="宋体"/>
                <w:b/>
                <w:bCs/>
                <w:color w:val="auto"/>
                <w:sz w:val="24"/>
                <w:highlight w:val="none"/>
                <w:lang w:val="en-US" w:eastAsia="zh-CN"/>
              </w:rPr>
              <w:t xml:space="preserve">。</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本项目对样品的要求：</w:t>
            </w:r>
            <w:r>
              <w:rPr>
                <w:rFonts w:hint="eastAsia" w:ascii="宋体" w:hAnsi="宋体" w:eastAsia="宋体" w:cs="宋体"/>
                <w:color w:val="auto"/>
                <w:sz w:val="24"/>
                <w:highlight w:val="none"/>
                <w:lang w:val="en-US" w:eastAsia="zh-CN"/>
              </w:rPr>
              <w:t xml:space="preserve">详见采购需求</w:t>
            </w:r>
            <w:r>
              <w:rPr>
                <w:rFonts w:hint="eastAsia" w:ascii="宋体" w:hAnsi="宋体" w:eastAsia="宋体" w:cs="宋体"/>
                <w:color w:val="auto"/>
                <w:sz w:val="24"/>
                <w:highlight w:val="none"/>
              </w:rPr>
              <w:t xml:space="preserve">。</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90天。</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招标文件售价：免费。</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采购代理机构代理费用的收取标准和方式：招标代理服务费由中标人支付，标准见《招标代理服务收费标准》（见附件）。</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现场考察：不组织现场考察。</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开标前答疑会：不召开开标前答疑会。</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w:t>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color w:val="auto"/>
                <w:sz w:val="24"/>
                <w:highlight w:val="none"/>
              </w:rPr>
              <w:t xml:space="preserve">发布本项目的“</w:t>
            </w:r>
            <w:r>
              <w:rPr>
                <w:rFonts w:hint="eastAsia" w:ascii="宋体" w:hAnsi="宋体" w:eastAsia="宋体" w:cs="宋体"/>
                <w:color w:val="auto"/>
                <w:sz w:val="24"/>
                <w:highlight w:val="none"/>
              </w:rPr>
              <w:t xml:space="preserve">终止公告</w:t>
            </w:r>
            <w:r>
              <w:rPr>
                <w:rFonts w:hint="eastAsia" w:ascii="宋体" w:hAnsi="宋体" w:eastAsia="宋体" w:cs="宋体"/>
                <w:bCs/>
                <w:color w:val="auto"/>
                <w:sz w:val="24"/>
                <w:highlight w:val="none"/>
              </w:rPr>
              <w:t xml:space="preserve">”后采购代理机构已尽通知义务。敬请各潜在投标人关注本项目的“</w:t>
            </w:r>
            <w:r>
              <w:rPr>
                <w:rFonts w:hint="eastAsia" w:ascii="宋体" w:hAnsi="宋体" w:eastAsia="宋体" w:cs="宋体"/>
                <w:color w:val="auto"/>
                <w:sz w:val="24"/>
                <w:highlight w:val="none"/>
              </w:rPr>
              <w:t xml:space="preserve">终止公告</w:t>
            </w:r>
            <w:r>
              <w:rPr>
                <w:rFonts w:hint="eastAsia" w:ascii="宋体" w:hAnsi="宋体" w:eastAsia="宋体" w:cs="宋体"/>
                <w:bCs/>
                <w:color w:val="auto"/>
                <w:sz w:val="24"/>
                <w:highlight w:val="none"/>
              </w:rPr>
              <w:t xml:space="preserve">”，否则，将自行承担相应的风险。</w:t>
            </w:r>
            <w:r/>
          </w:p>
        </w:tc>
      </w:tr>
      <w:tr>
        <w:trPr>
          <w:trHeight w:val="283"/>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tcW w:w="7670" w:type="dxa"/>
            <w:vAlign w:val="top"/>
            <w:textDirection w:val="lrTb"/>
            <w:noWrap w:val="false"/>
          </w:tcPr>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投标人信用信息查询渠道及截止时点、信用信息查询记录和证据留存的具体方式、信用信息的使用规则等：</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一、</w:t>
            </w:r>
            <w:r>
              <w:rPr>
                <w:rFonts w:hint="eastAsia" w:ascii="宋体" w:hAnsi="宋体" w:eastAsia="宋体" w:cs="宋体"/>
                <w:color w:val="auto"/>
                <w:sz w:val="24"/>
                <w:highlight w:val="none"/>
              </w:rPr>
              <w:t xml:space="preserve">由采购人查询信用信息。</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二、查询渠道：</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“信用中国”网（www.creditchina.gov.cn）；</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“中国政府采购”网（www.ccgp.gov.cn）；</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“信用江苏”网（http://credit.jiangsu.gov.cn）；</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“信用中国（江苏徐州）”网（www.xuzhoucredit.gov.cn）；</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三、截止时点（查询环节）：资格审查结束前。</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四、信用信息查询记录和证据留存的具体方式：</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五、信用信息的使用规则：</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三、投标</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w:t>
            </w:r>
            <w:r/>
          </w:p>
        </w:tc>
        <w:tc>
          <w:tcPr>
            <w:tcW w:w="7670" w:type="dxa"/>
            <w:vAlign w:val="top"/>
            <w:textDirection w:val="lrTb"/>
            <w:noWrap w:val="false"/>
          </w:tcPr>
          <w:p>
            <w:pPr>
              <w:jc w:val="left"/>
              <w:keepLines/>
              <w:keepNext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投标人的资格要求：</w:t>
            </w:r>
            <w:r/>
          </w:p>
          <w:p>
            <w:pPr>
              <w:jc w:val="left"/>
              <w:keepLines/>
              <w:keepNext w:val="0"/>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1</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符合《中华人民共和国政府采购法》第二十二条规定；</w:t>
            </w:r>
            <w:r/>
          </w:p>
          <w:p>
            <w:pPr>
              <w:jc w:val="left"/>
              <w:keepLines/>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2</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落实政府采购政策需满足的资格要求：本项目为专门面向中小企业采购的项目，供应商应为中小微企业、监狱企业、残疾人福利性单位。</w:t>
            </w:r>
            <w:r/>
          </w:p>
          <w:p>
            <w:pPr>
              <w:jc w:val="left"/>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本项目的特定资格要求：</w:t>
            </w:r>
            <w:r>
              <w:rPr>
                <w:rFonts w:hint="eastAsia" w:ascii="宋体" w:hAnsi="宋体" w:eastAsia="宋体" w:cs="宋体"/>
                <w:bCs/>
                <w:color w:val="auto"/>
                <w:sz w:val="24"/>
                <w:highlight w:val="none"/>
                <w:lang w:val="en-US" w:eastAsia="zh-CN"/>
              </w:rPr>
              <w:t xml:space="preserve">无</w:t>
            </w:r>
            <w:r/>
          </w:p>
          <w:p>
            <w:pPr>
              <w:jc w:val="left"/>
              <w:keepLines/>
              <w:keepNext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说明：</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本项目不接受联合体参与投标。</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单位负责人为同一人或者存在直接控股、管理关系的不同供应商，不得参加同一合同项下的政府采购活动。</w:t>
            </w:r>
            <w:r/>
          </w:p>
          <w:p>
            <w:pPr>
              <w:jc w:val="left"/>
              <w:keepLines/>
              <w:keepNext w:val="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为本采购项目提供整体设计、规范编制或者项目管理、监理、检测等服务的投标人，不得再参加本采购项目的采购活动。</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w:t>
            </w:r>
            <w:r/>
          </w:p>
        </w:tc>
        <w:tc>
          <w:tcPr>
            <w:tcW w:w="7670" w:type="dxa"/>
            <w:vAlign w:val="top"/>
            <w:textDirection w:val="lrTb"/>
            <w:noWrap w:val="false"/>
          </w:tcPr>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投标人须用政府采购客户端工具导入“苏采云”系统下载的招标文件后，离线编制投标文件。招标文件、供应商操作手册及政府采购客户端工具可通过“苏采云”系统（网址：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HYPERLINK "http://jszfcg.jsczt.cn/"</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http://jszfcg.jsc</w:t>
            </w:r>
            <w:bookmarkStart w:id="0" w:name="_Hlt91509264"/>
            <w:r/>
            <w:bookmarkStart w:id="1" w:name="_Hlt91509263"/>
            <w:r>
              <w:rPr>
                <w:rFonts w:hint="eastAsia" w:ascii="宋体" w:hAnsi="宋体" w:eastAsia="宋体" w:cs="宋体"/>
                <w:bCs/>
                <w:color w:val="auto"/>
                <w:sz w:val="24"/>
                <w:highlight w:val="none"/>
              </w:rPr>
              <w:t xml:space="preserve">z</w:t>
            </w:r>
            <w:bookmarkEnd w:id="0"/>
            <w:r/>
            <w:bookmarkEnd w:id="1"/>
            <w:r>
              <w:rPr>
                <w:rFonts w:hint="eastAsia" w:ascii="宋体" w:hAnsi="宋体" w:eastAsia="宋体" w:cs="宋体"/>
                <w:bCs/>
                <w:color w:val="auto"/>
                <w:sz w:val="24"/>
                <w:highlight w:val="none"/>
              </w:rPr>
              <w:t xml:space="preserve">t.cn/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特别说明：政府采购客户端工具需要导出加密的投标文件（后缀名为zip）。投标文件不得超过150M！</w:t>
            </w:r>
            <w:r/>
          </w:p>
        </w:tc>
      </w:tr>
      <w:tr>
        <w:trPr>
          <w:trHeight w:val="90"/>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w:t>
            </w:r>
            <w:r/>
          </w:p>
        </w:tc>
        <w:tc>
          <w:tcPr>
            <w:tcW w:w="7670" w:type="dxa"/>
            <w:vAlign w:val="top"/>
            <w:textDirection w:val="lrTb"/>
            <w:noWrap w:val="false"/>
          </w:tcPr>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投标文件编制要求：</w:t>
            </w:r>
            <w:r>
              <w:rPr>
                <w:rFonts w:hint="eastAsia" w:ascii="宋体" w:hAnsi="宋体" w:eastAsia="宋体" w:cs="宋体"/>
                <w:b/>
                <w:bCs/>
                <w:color w:val="auto"/>
                <w:sz w:val="24"/>
                <w:highlight w:val="none"/>
              </w:rPr>
              <w:t xml:space="preserve">（以电子采购文件提供的格式和要求为准）</w:t>
            </w:r>
            <w:r/>
          </w:p>
          <w:p>
            <w:pPr>
              <w:keepLines/>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一、</w:t>
            </w:r>
            <w:r>
              <w:rPr>
                <w:rFonts w:hint="eastAsia" w:ascii="宋体" w:hAnsi="宋体" w:eastAsia="宋体" w:cs="宋体"/>
                <w:b/>
                <w:bCs w:val="0"/>
                <w:color w:val="auto"/>
                <w:sz w:val="24"/>
                <w:highlight w:val="none"/>
                <w:lang w:val="en-US" w:eastAsia="zh-CN"/>
              </w:rPr>
              <w:t xml:space="preserve">基本目录</w:t>
            </w:r>
            <w:r/>
          </w:p>
          <w:p>
            <w:pPr>
              <w:keepLines/>
              <w:keepNext w:val="0"/>
              <w:spacing w:line="360" w:lineRule="auto"/>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1.《开标一览表》（加盖电子签章，政府采购客户端工具输入报价自动生成，）；</w:t>
            </w:r>
            <w:r/>
          </w:p>
          <w:p>
            <w:pPr>
              <w:keepLines/>
              <w:keepNext w:val="0"/>
              <w:spacing w:line="360" w:lineRule="auto"/>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2.《法定代表人授权书》（提供原件的扫描件，格式见招标文件第七章《投标文件相关格式》）（必须提供，否则在符合性审查时按照投标无效处理）；</w:t>
            </w:r>
            <w:r/>
          </w:p>
          <w:p>
            <w:pPr>
              <w:keepLines/>
              <w:keepNext w:val="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3.所投产品的环境标志产品认证证书原件的扫描件（如有）。</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keepLines/>
              <w:keepNext w:val="0"/>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4.所投产品的节能产品认证证书原件的扫描件（如有）。</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keepLines/>
              <w:keepNext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17"/>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jc w:val="lef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 xml:space="preserve">二</w:t>
            </w:r>
            <w:r>
              <w:rPr>
                <w:rFonts w:hint="eastAsia" w:ascii="宋体" w:hAnsi="宋体" w:eastAsia="宋体" w:cs="宋体"/>
                <w:b/>
                <w:bCs w:val="0"/>
                <w:color w:val="auto"/>
                <w:sz w:val="24"/>
                <w:highlight w:val="none"/>
              </w:rPr>
              <w:t xml:space="preserve">、</w:t>
            </w:r>
            <w:r>
              <w:rPr>
                <w:rFonts w:hint="eastAsia" w:ascii="宋体" w:hAnsi="宋体" w:eastAsia="宋体" w:cs="宋体"/>
                <w:b/>
                <w:color w:val="auto"/>
                <w:sz w:val="24"/>
                <w:szCs w:val="24"/>
                <w:highlight w:val="none"/>
              </w:rPr>
              <w:t xml:space="preserve">资格条件</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1-6项</w:t>
            </w:r>
            <w:r>
              <w:rPr>
                <w:rFonts w:hint="eastAsia" w:ascii="宋体" w:hAnsi="宋体" w:eastAsia="宋体" w:cs="宋体"/>
                <w:b/>
                <w:color w:val="auto"/>
                <w:sz w:val="24"/>
                <w:szCs w:val="24"/>
                <w:highlight w:val="none"/>
              </w:rPr>
              <w:t xml:space="preserve">必须提供，否则投标将被拒绝）</w:t>
            </w:r>
            <w:r>
              <w:rPr>
                <w:rFonts w:hint="eastAsia" w:ascii="宋体" w:hAnsi="宋体" w:eastAsia="宋体" w:cs="宋体"/>
                <w:bCs/>
                <w:color w:val="auto"/>
                <w:sz w:val="24"/>
                <w:highlight w:val="none"/>
              </w:rPr>
              <w:t xml:space="preserve">：</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1、</w:t>
            </w:r>
            <w:r>
              <w:rPr>
                <w:rFonts w:hint="eastAsia" w:ascii="宋体" w:hAnsi="宋体" w:eastAsia="宋体" w:cs="宋体"/>
                <w:b/>
                <w:bCs/>
                <w:sz w:val="24"/>
                <w:szCs w:val="32"/>
                <w:highlight w:val="none"/>
                <w:lang w:val="en-US" w:eastAsia="zh-CN"/>
              </w:rPr>
              <w:t xml:space="preserve">投标人合法有效的法人或者其他组织的营业执照等证明文件，自然人的身份证明</w:t>
            </w:r>
            <w:r>
              <w:rPr>
                <w:rFonts w:hint="eastAsia" w:ascii="宋体" w:hAnsi="宋体" w:eastAsia="宋体" w:cs="宋体"/>
                <w:sz w:val="24"/>
                <w:szCs w:val="32"/>
                <w:highlight w:val="none"/>
                <w:lang w:val="en-US" w:eastAsia="zh-CN"/>
              </w:rPr>
              <w:t xml:space="preserve">，以上证明文件的原件的扫描件（彩色）；</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b/>
                <w:bCs/>
                <w:sz w:val="24"/>
                <w:szCs w:val="32"/>
                <w:highlight w:val="none"/>
                <w:lang w:val="en-US" w:eastAsia="zh-CN"/>
              </w:rPr>
              <w:t xml:space="preserve">2、财务状况报告，</w:t>
            </w:r>
            <w:r>
              <w:rPr>
                <w:rFonts w:hint="eastAsia" w:ascii="宋体" w:hAnsi="宋体" w:eastAsia="宋体" w:cs="宋体"/>
                <w:sz w:val="24"/>
                <w:szCs w:val="32"/>
                <w:highlight w:val="none"/>
                <w:lang w:val="en-US" w:eastAsia="zh-CN"/>
              </w:rPr>
              <w:t xml:space="preserve">至少提供：</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投标人的提交首次投标文件时间前6个月内</w:t>
            </w:r>
            <w:r>
              <w:rPr>
                <w:rFonts w:hint="eastAsia" w:ascii="宋体" w:hAnsi="宋体" w:eastAsia="宋体" w:cs="宋体"/>
                <w:sz w:val="24"/>
                <w:szCs w:val="32"/>
                <w:highlight w:val="none"/>
                <w:lang w:eastAsia="zh-CN"/>
              </w:rPr>
              <w:t xml:space="preserve">（不含“首次投标文件提交的截止时间”当月）</w:t>
            </w:r>
            <w:r>
              <w:rPr>
                <w:rFonts w:hint="eastAsia" w:ascii="宋体" w:hAnsi="宋体" w:eastAsia="宋体" w:cs="宋体"/>
                <w:sz w:val="24"/>
                <w:szCs w:val="32"/>
                <w:highlight w:val="none"/>
                <w:lang w:val="en-US" w:eastAsia="zh-CN"/>
              </w:rPr>
              <w:t xml:space="preserve">任何日期的资产负债表和利润表月报表扫描件各一份；或投标人基本开户银行出具的有效的资信证明扫描件；或财政部门认可的政府采购专业担保机构出具的有效的投标担保函扫描件；或其上一年度经审计的财务报告扫描件；</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3、投标人的提交首次投标文件时间前6个月内任何1月</w:t>
            </w:r>
            <w:r>
              <w:rPr>
                <w:rFonts w:hint="eastAsia" w:ascii="宋体" w:hAnsi="宋体" w:eastAsia="宋体" w:cs="宋体"/>
                <w:sz w:val="24"/>
                <w:szCs w:val="32"/>
                <w:highlight w:val="none"/>
                <w:lang w:eastAsia="zh-CN"/>
              </w:rPr>
              <w:t xml:space="preserve">（不含“首次投标文件提交的截止时间”当月）</w:t>
            </w:r>
            <w:r>
              <w:rPr>
                <w:rFonts w:hint="eastAsia" w:ascii="宋体" w:hAnsi="宋体" w:eastAsia="宋体" w:cs="宋体"/>
                <w:sz w:val="24"/>
                <w:szCs w:val="32"/>
                <w:highlight w:val="none"/>
                <w:lang w:val="en-US" w:eastAsia="zh-CN"/>
              </w:rPr>
              <w:t xml:space="preserve">的</w:t>
            </w:r>
            <w:r>
              <w:rPr>
                <w:rFonts w:hint="eastAsia" w:ascii="宋体" w:hAnsi="宋体" w:eastAsia="宋体" w:cs="宋体"/>
                <w:b/>
                <w:bCs/>
                <w:sz w:val="24"/>
                <w:szCs w:val="32"/>
                <w:highlight w:val="none"/>
                <w:lang w:val="en-US" w:eastAsia="zh-CN"/>
              </w:rPr>
              <w:t xml:space="preserve">依法缴纳税收和社会保障资金的相关材料扫描件各一份</w:t>
            </w:r>
            <w:r>
              <w:rPr>
                <w:rFonts w:hint="eastAsia" w:ascii="宋体" w:hAnsi="宋体" w:eastAsia="宋体" w:cs="宋体"/>
                <w:sz w:val="24"/>
                <w:szCs w:val="32"/>
                <w:highlight w:val="none"/>
                <w:lang w:val="en-US" w:eastAsia="zh-CN"/>
              </w:rPr>
              <w:t xml:space="preserve">；或依法免税或不需要缴纳社会保障资金的投标人应提供相应其依法免税或不需要缴纳社会保障资金的证明文件扫描件；</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4、具备履行合同所必需的设备和专业技术能力的证明材料。即投标文件中</w:t>
            </w:r>
            <w:r>
              <w:rPr>
                <w:rFonts w:hint="eastAsia" w:ascii="宋体" w:hAnsi="宋体" w:eastAsia="宋体" w:cs="宋体"/>
                <w:b/>
                <w:bCs/>
                <w:sz w:val="24"/>
                <w:szCs w:val="32"/>
                <w:highlight w:val="none"/>
                <w:lang w:val="en-US" w:eastAsia="zh-CN"/>
              </w:rPr>
              <w:t xml:space="preserve">提供《</w:t>
            </w:r>
            <w:bookmarkStart w:id="2" w:name="_Toc515551102"/>
            <w:r>
              <w:rPr>
                <w:rFonts w:hint="eastAsia" w:ascii="宋体" w:hAnsi="宋体" w:eastAsia="宋体" w:cs="宋体"/>
                <w:b/>
                <w:bCs/>
                <w:sz w:val="24"/>
                <w:szCs w:val="32"/>
                <w:highlight w:val="none"/>
                <w:lang w:val="en-US" w:eastAsia="zh-CN"/>
              </w:rPr>
              <w:t xml:space="preserve">具备履行合同所必需的设备和专业技术能力的书面声明</w:t>
            </w:r>
            <w:bookmarkEnd w:id="2"/>
            <w:r>
              <w:rPr>
                <w:rFonts w:hint="eastAsia" w:ascii="宋体" w:hAnsi="宋体" w:eastAsia="宋体" w:cs="宋体"/>
                <w:b/>
                <w:bCs/>
                <w:sz w:val="24"/>
                <w:szCs w:val="32"/>
                <w:highlight w:val="none"/>
                <w:lang w:val="en-US" w:eastAsia="zh-CN"/>
              </w:rPr>
              <w:t xml:space="preserve">》（附证明材料原件的扫描件（彩色））</w:t>
            </w:r>
            <w:r>
              <w:rPr>
                <w:rFonts w:hint="eastAsia" w:ascii="宋体" w:hAnsi="宋体" w:eastAsia="宋体" w:cs="宋体"/>
                <w:sz w:val="24"/>
                <w:szCs w:val="32"/>
                <w:highlight w:val="none"/>
                <w:lang w:val="en-US" w:eastAsia="zh-CN"/>
              </w:rPr>
              <w:t xml:space="preserve">（加盖电子签章，格式见招标文件第七章《投标文件相关格</w:t>
            </w:r>
            <w:r>
              <w:rPr>
                <w:rFonts w:hint="eastAsia" w:ascii="宋体" w:hAnsi="宋体" w:eastAsia="宋体" w:cs="宋体"/>
                <w:b w:val="0"/>
                <w:bCs w:val="0"/>
                <w:sz w:val="24"/>
                <w:szCs w:val="32"/>
                <w:highlight w:val="none"/>
                <w:lang w:val="en-US" w:eastAsia="zh-CN"/>
              </w:rPr>
              <w:t xml:space="preserve">式》</w:t>
            </w:r>
            <w:r>
              <w:rPr>
                <w:rFonts w:hint="eastAsia" w:ascii="宋体" w:hAnsi="宋体" w:eastAsia="宋体" w:cs="宋体"/>
                <w:sz w:val="24"/>
                <w:szCs w:val="32"/>
                <w:highlight w:val="none"/>
                <w:lang w:val="en-US" w:eastAsia="zh-CN"/>
              </w:rPr>
              <w:t xml:space="preserve">）；</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5、投标人参加政府采购活动前3年内在经营活动中没有重大违法记录的书面声明(原件，格式见招标文件第七章《投标文件相关格式)；</w:t>
            </w:r>
            <w:r/>
          </w:p>
          <w:p>
            <w:pPr>
              <w:keepLines/>
              <w:keepNext w:val="0"/>
              <w:spacing w:line="360" w:lineRule="auto"/>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 xml:space="preserve">6、本项目为专门面向中小微企业采购的项目，投标人应为中小微企业（含中型、小型、微型企业，下同）的，</w:t>
            </w:r>
            <w:r>
              <w:rPr>
                <w:rFonts w:hint="eastAsia" w:ascii="宋体" w:hAnsi="宋体" w:eastAsia="宋体" w:cs="宋体"/>
                <w:b/>
                <w:bCs/>
                <w:sz w:val="24"/>
                <w:szCs w:val="32"/>
                <w:highlight w:val="none"/>
                <w:lang w:val="en-US" w:eastAsia="zh-CN"/>
              </w:rPr>
              <w:t xml:space="preserve">提供《中小企业声明函》</w:t>
            </w:r>
            <w:r>
              <w:rPr>
                <w:rFonts w:hint="eastAsia" w:ascii="宋体" w:hAnsi="宋体" w:eastAsia="宋体" w:cs="宋体"/>
                <w:sz w:val="24"/>
                <w:szCs w:val="32"/>
                <w:highlight w:val="none"/>
                <w:lang w:val="en-US" w:eastAsia="zh-CN"/>
              </w:rPr>
              <w:t xml:space="preserve">原件（电子签章，填写完整。必须提供，格式见招标文件第七章《投标文件相关格式）。《中小企业声明函》查询渠道用微信搜索“中小企业规模类型自测小程序”。</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注：具体以《政府采购促进中小企业发展管理办法》（财库[2020]46号）和《关于印发中小企业划型标准规定的通知》（工信部联企业[2011]300号）的规定为准。</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投标人为监狱企业的，提供省级以上监狱管理局、戒毒管理局（含新疆生产建设兵团）出具的属于监狱企业的证明文件的扫描件。</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注：具体以《财政部 司法部关于政府采购支持监狱企业发展有关问题的通知》（财库〔2014〕68号）的规定为准。</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投标人为享受政府采购支持政策的残疾人福利性单位的，提供《残疾人福利性单位声明函》（加盖电子签章，格式见招标文件第七章《投标文件相关格式》）。</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享受政府采购支持政策的残疾人福利性单位应当同时满足以下条件：</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①安置的残疾人占本单位在职职工人数的比例不低于25%（含25%），并且安置的残疾人人数不少于10人（含10人）；</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②依法与安置的每位残疾人签订了一年以上（含一年）的劳动合同或服务协议；</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③为安置的每位残疾人按月足额缴纳了基本养老保险、基本医疗保险、失业保险、工伤保险和生育保险等社会保险费；</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④通过银行等金融机构向安置的每位残疾人，按月支付了不低于单位所在区县适用的经省级人民政府批准的月最低工资标准的工资；</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⑤提供本单位制造的货物、承担的工程或者服务（以下简称产品），或者提供其他残疾人福利性单位制造的货物（不包括使用非残疾人福利性单位注册商标的货物）。</w:t>
            </w:r>
            <w:r/>
          </w:p>
          <w:p>
            <w:pPr>
              <w:keepLines/>
              <w:keepNext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sz w:val="24"/>
                <w:szCs w:val="32"/>
                <w:highlight w:val="none"/>
              </w:rPr>
              <w:t xml:space="preserve">   具体以《三部门联合发布关于促进残疾人就业政府采购政策的通知》（财库〔2017〕141号）规定为准。</w:t>
            </w:r>
            <w:r/>
          </w:p>
          <w:p>
            <w:pPr>
              <w:keepLines/>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eastAsia="宋体" w:cs="宋体"/>
                <w:b/>
                <w:bCs w:val="0"/>
                <w:color w:val="auto"/>
                <w:sz w:val="24"/>
                <w:highlight w:val="none"/>
              </w:rPr>
              <w:t xml:space="preserve">）</w:t>
            </w:r>
            <w:r/>
          </w:p>
          <w:p>
            <w:pPr>
              <w:keepLines/>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（一）报价</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1、《开标一览表》（加盖电子签章，格式见招标文件第七章《投标文件相关格式》）；</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2、《分项价格表》（加盖电子签章，格式见招标文件第七章《投标文件相关格式》）；</w:t>
            </w:r>
            <w:r/>
          </w:p>
          <w:p>
            <w:pPr>
              <w:keepLines/>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（二）商务资信</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1、《投标函》（加盖电子签章，格式见招标文件第七章《投标文件相关格式》）；</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2、《授权委托书》（加盖电子签章，格式见招标文件第七章《投标文件相关格式》）；</w:t>
            </w:r>
            <w:r/>
          </w:p>
          <w:p>
            <w:pPr>
              <w:keepLines/>
              <w:keepNext w:val="0"/>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（三）技术响应</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1、《偏离表》（加盖电子签章，格式见招标文件第七章《投标文件相关格式》）。</w:t>
            </w:r>
            <w:r/>
          </w:p>
          <w:p>
            <w:pPr>
              <w:keepLines/>
              <w:keepNext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rPr>
              <w:t xml:space="preserve">、技术部分</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实施</w:t>
            </w:r>
            <w:r>
              <w:rPr>
                <w:rFonts w:hint="eastAsia" w:ascii="宋体" w:hAnsi="宋体" w:cs="宋体"/>
                <w:bCs/>
                <w:color w:val="auto"/>
                <w:sz w:val="24"/>
                <w:highlight w:val="none"/>
              </w:rPr>
              <w:t xml:space="preserve">方案</w:t>
            </w:r>
            <w:r>
              <w:rPr>
                <w:rFonts w:hint="eastAsia" w:ascii="宋体" w:hAnsi="宋体" w:eastAsia="宋体" w:cs="宋体"/>
                <w:bCs/>
                <w:color w:val="auto"/>
                <w:sz w:val="24"/>
                <w:highlight w:val="none"/>
                <w:lang w:val="en-US" w:eastAsia="zh-CN"/>
              </w:rPr>
              <w:t xml:space="preserve">》（要求见招标文件第六章《采购需求》及第四章《评标标准》）；</w:t>
            </w:r>
            <w:r/>
          </w:p>
          <w:p>
            <w:pPr>
              <w:keepLines/>
              <w:keepNext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2、评分细则中评分得分需提供的相关证明文件扫描件；</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1、投标人应对以上文件的合法性、真实性负责。</w:t>
            </w:r>
            <w:r/>
          </w:p>
          <w:p>
            <w:pPr>
              <w:keepLines/>
              <w:keepNext w:val="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投标人应当通过“苏采云”系统提交数据电文形式的投标文件（即电子投标文件）。</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投标文件的退还：投标文件不退还投标人，若采购人索取中标人的数据电文形式的投标文件，须在双方</w:t>
            </w:r>
            <w:r>
              <w:rPr>
                <w:rFonts w:hint="eastAsia" w:ascii="宋体" w:hAnsi="宋体" w:eastAsia="宋体" w:cs="宋体"/>
                <w:color w:val="auto"/>
                <w:sz w:val="24"/>
                <w:highlight w:val="none"/>
                <w:lang w:eastAsia="zh-CN"/>
              </w:rPr>
              <w:t xml:space="preserve">签订</w:t>
            </w:r>
            <w:r>
              <w:rPr>
                <w:rFonts w:hint="eastAsia" w:ascii="宋体" w:hAnsi="宋体" w:eastAsia="宋体" w:cs="宋体"/>
                <w:color w:val="auto"/>
                <w:sz w:val="24"/>
                <w:highlight w:val="none"/>
              </w:rPr>
              <w:t xml:space="preserve">政府采购合同后，由采购代理机构提供给采购人。</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投标文件的密封、签署、盖章要求：</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二、投标文件的签署要求：见招标文件第七章《投标文件相关格式》。</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rHeight w:val="274"/>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19.8</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投标人未按规定加密的投标文件，“苏采云”系统应当拒收并提示。</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19.9</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20.6</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val="0"/>
                <w:color w:val="auto"/>
                <w:sz w:val="24"/>
                <w:highlight w:val="none"/>
              </w:rPr>
              <w:t xml:space="preserve">本项目</w:t>
            </w:r>
            <w:r>
              <w:rPr>
                <w:rFonts w:hint="eastAsia" w:ascii="宋体" w:hAnsi="宋体" w:eastAsia="宋体" w:cs="宋体"/>
                <w:b/>
                <w:bCs w:val="0"/>
                <w:color w:val="auto"/>
                <w:sz w:val="24"/>
                <w:highlight w:val="none"/>
                <w:lang w:val="en-US" w:eastAsia="zh-CN"/>
              </w:rPr>
              <w:t xml:space="preserve">不接受超</w:t>
            </w:r>
            <w:r>
              <w:rPr>
                <w:rFonts w:hint="eastAsia" w:ascii="宋体" w:hAnsi="宋体" w:cs="宋体"/>
                <w:b/>
                <w:bCs w:val="0"/>
                <w:color w:val="auto"/>
                <w:sz w:val="24"/>
                <w:highlight w:val="none"/>
                <w:lang w:val="en-US" w:eastAsia="zh-CN"/>
              </w:rPr>
              <w:t xml:space="preserve">41070万元</w:t>
            </w:r>
            <w:r>
              <w:rPr>
                <w:rFonts w:hint="eastAsia" w:ascii="宋体" w:hAnsi="宋体" w:eastAsia="宋体" w:cs="宋体"/>
                <w:b/>
                <w:bCs w:val="0"/>
                <w:color w:val="auto"/>
                <w:sz w:val="24"/>
                <w:highlight w:val="none"/>
                <w:lang w:val="en-US" w:eastAsia="zh-CN"/>
              </w:rPr>
              <w:t xml:space="preserve">（人民币）</w:t>
            </w:r>
            <w:r>
              <w:rPr>
                <w:rFonts w:hint="eastAsia" w:ascii="宋体" w:hAnsi="宋体" w:eastAsia="宋体" w:cs="宋体"/>
                <w:b/>
                <w:bCs w:val="0"/>
                <w:color w:val="auto"/>
                <w:sz w:val="24"/>
                <w:highlight w:val="none"/>
              </w:rPr>
              <w:t xml:space="preserve">（采购项目预算金额）</w:t>
            </w:r>
            <w:bookmarkStart w:id="3" w:name="OLE_LINK1"/>
            <w:r>
              <w:rPr>
                <w:rFonts w:hint="eastAsia" w:ascii="宋体" w:hAnsi="宋体" w:eastAsia="宋体" w:cs="宋体"/>
                <w:b/>
                <w:bCs w:val="0"/>
                <w:color w:val="auto"/>
                <w:sz w:val="24"/>
                <w:highlight w:val="none"/>
                <w:lang w:val="en-US" w:eastAsia="zh-CN"/>
              </w:rPr>
              <w:t xml:space="preserve">。</w:t>
            </w:r>
            <w:bookmarkEnd w:id="3"/>
            <w:r>
              <w:rPr>
                <w:rFonts w:hint="eastAsia" w:ascii="宋体" w:hAnsi="宋体" w:eastAsia="宋体" w:cs="宋体"/>
                <w:b/>
                <w:bCs w:val="0"/>
                <w:color w:val="auto"/>
                <w:sz w:val="24"/>
                <w:highlight w:val="none"/>
              </w:rPr>
              <w:t xml:space="preserve">报价包括全部费用</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采购人</w:t>
            </w:r>
            <w:r>
              <w:rPr>
                <w:rFonts w:hint="eastAsia" w:ascii="宋体" w:hAnsi="宋体" w:eastAsia="宋体" w:cs="宋体"/>
                <w:b/>
                <w:bCs w:val="0"/>
                <w:color w:val="auto"/>
                <w:sz w:val="24"/>
                <w:highlight w:val="none"/>
              </w:rPr>
              <w:t xml:space="preserve">不再支付报价以外的任何费用。</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投标人不需</w:t>
            </w:r>
            <w:r>
              <w:rPr>
                <w:rFonts w:hint="eastAsia" w:ascii="宋体" w:hAnsi="宋体" w:eastAsia="宋体" w:cs="宋体"/>
                <w:b/>
                <w:bCs/>
                <w:color w:val="auto"/>
                <w:sz w:val="24"/>
                <w:highlight w:val="none"/>
                <w:lang w:eastAsia="zh-CN"/>
              </w:rPr>
              <w:t xml:space="preserve">缴纳</w:t>
            </w:r>
            <w:r>
              <w:rPr>
                <w:rFonts w:hint="eastAsia" w:ascii="宋体" w:hAnsi="宋体" w:eastAsia="宋体" w:cs="宋体"/>
                <w:b/>
                <w:bCs/>
                <w:color w:val="auto"/>
                <w:sz w:val="24"/>
                <w:highlight w:val="none"/>
              </w:rPr>
              <w:t xml:space="preserve">投标保证金。</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投标截止时间：</w:t>
            </w:r>
            <w:r>
              <w:rPr>
                <w:rFonts w:hint="eastAsia" w:ascii="宋体" w:hAnsi="宋体" w:cs="宋体"/>
                <w:b/>
                <w:bCs/>
                <w:color w:val="auto"/>
                <w:sz w:val="24"/>
                <w:highlight w:val="none"/>
                <w:lang w:eastAsia="zh-CN"/>
              </w:rPr>
              <w:t xml:space="preserve">2025年12月29日北京时间09：30</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投标文件的提交与接收：</w:t>
            </w:r>
            <w:r/>
          </w:p>
          <w:p>
            <w:pPr>
              <w:numPr>
                <w:ilvl w:val="0"/>
                <w:numId w:val="4"/>
              </w:numPr>
              <w:ind w:left="787" w:hanging="787"/>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投标文件提交与接收时间</w:t>
            </w:r>
            <w:r>
              <w:rPr>
                <w:rFonts w:hint="eastAsia" w:ascii="宋体" w:hAnsi="宋体" w:eastAsia="宋体" w:cs="宋体"/>
                <w:b/>
                <w:bCs/>
                <w:color w:val="auto"/>
                <w:sz w:val="24"/>
                <w:highlight w:val="none"/>
              </w:rPr>
              <w:t xml:space="preserve">：</w:t>
            </w:r>
            <w:r/>
          </w:p>
          <w:p>
            <w:pPr>
              <w:numPr>
                <w:ilvl w:val="0"/>
                <w:numId w:val="0"/>
              </w:numPr>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提交投标文件截止时间（</w:t>
            </w:r>
            <w:r>
              <w:rPr>
                <w:rFonts w:hint="eastAsia" w:ascii="宋体" w:hAnsi="宋体" w:cs="宋体"/>
                <w:b/>
                <w:bCs/>
                <w:color w:val="auto"/>
                <w:sz w:val="24"/>
                <w:highlight w:val="none"/>
                <w:lang w:eastAsia="zh-CN"/>
              </w:rPr>
              <w:t xml:space="preserve">2025年12月29日北京时间09：30</w:t>
            </w:r>
            <w:r>
              <w:rPr>
                <w:rFonts w:hint="eastAsia" w:ascii="宋体" w:hAnsi="宋体" w:eastAsia="宋体" w:cs="宋体"/>
                <w:b/>
                <w:bCs/>
                <w:color w:val="auto"/>
                <w:sz w:val="24"/>
                <w:highlight w:val="none"/>
              </w:rPr>
              <w:t xml:space="preserve">）前。</w:t>
            </w:r>
            <w:r/>
          </w:p>
          <w:p>
            <w:pPr>
              <w:numPr>
                <w:ilvl w:val="0"/>
                <w:numId w:val="0"/>
              </w:numPr>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投标文件提交与接收地点：</w:t>
            </w:r>
            <w:r>
              <w:rPr>
                <w:rFonts w:hint="eastAsia" w:ascii="宋体" w:hAnsi="宋体" w:eastAsia="宋体" w:cs="宋体"/>
                <w:b/>
                <w:bCs/>
                <w:color w:val="auto"/>
                <w:sz w:val="24"/>
                <w:highlight w:val="none"/>
              </w:rPr>
              <w:t xml:space="preserve">投标人应当通过“苏采云”系统提交数据电文形式的投标文件（即电子投标），“苏采云”系统自动接收，在达到开标时间后，使用CA数字证书解密各自投标文件。</w:t>
            </w:r>
            <w:r/>
          </w:p>
          <w:p>
            <w:pPr>
              <w:numPr>
                <w:ilvl w:val="0"/>
                <w:numId w:val="0"/>
              </w:num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特别说明：政府采购客户端工具需要导出加密的投标文件（后缀名为zip）。投标文件不得超过150M！（以系统为准）名为“.kedt”）后，离线编制投标文件。采购文件（后缀名为“.kedt”）。</w:t>
            </w:r>
            <w:r/>
          </w:p>
        </w:tc>
      </w:tr>
      <w:tr>
        <w:trPr>
          <w:trHeight w:val="582"/>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招标文件对本项目分包的规定：采购人不允许采用分包方式履行合同。</w:t>
            </w:r>
            <w:r/>
          </w:p>
        </w:tc>
      </w:tr>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四、开标、评标</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开标时间及地点：</w:t>
            </w:r>
            <w:r/>
          </w:p>
          <w:p>
            <w:pPr>
              <w:pStyle w:val="843"/>
              <w:jc w:val="left"/>
              <w:keepLines/>
              <w:keepNext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开标时间：</w:t>
            </w:r>
            <w:r>
              <w:rPr>
                <w:rFonts w:hint="eastAsia" w:ascii="宋体" w:hAnsi="宋体" w:cs="宋体"/>
                <w:b/>
                <w:bCs/>
                <w:color w:val="auto"/>
                <w:sz w:val="24"/>
                <w:highlight w:val="none"/>
                <w:lang w:eastAsia="zh-CN"/>
              </w:rPr>
              <w:t xml:space="preserve">2025年12月29日北京时间09：30</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开标地点：“苏采云”系统（网址： http://jszfcg.jsczt.cn/）“开标大厅”或进入徐州政府采购网（网址：http://czj.xz.gov.cn/Home/HomeIndex）--业务工作--用户登录，点击“苏采云”进入系统“开标大厅”。</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所有投标人解密（或解密时间）结束后，“苏采云”系统生成开标记录并向社会公众公布，但依法应当保密的除外。</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w:t>
            </w:r>
            <w:r/>
          </w:p>
        </w:tc>
        <w:tc>
          <w:tcPr>
            <w:tcW w:w="7670" w:type="dxa"/>
            <w:vAlign w:val="top"/>
            <w:textDirection w:val="lrTb"/>
            <w:noWrap w:val="false"/>
          </w:tcPr>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五、中标和合同</w:t>
            </w:r>
            <w:r/>
          </w:p>
        </w:tc>
      </w:tr>
      <w:tr>
        <w:trPr>
          <w:trHeight w:val="1509"/>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中标候选人并列的，招标文件规定的确定中标人方式：采用综合评分法的，评标结果按评审后得分由高到低顺序排列。得分相同的，按投标报价由低到高顺序排列。得分且投标报价相同的，按项目实施方案</w:t>
            </w:r>
            <w:r>
              <w:rPr>
                <w:rFonts w:hint="eastAsia" w:ascii="宋体" w:hAnsi="宋体" w:eastAsia="宋体" w:cs="宋体"/>
                <w:color w:val="auto"/>
                <w:sz w:val="24"/>
                <w:highlight w:val="none"/>
                <w:lang w:val="en-US" w:eastAsia="zh-CN"/>
              </w:rPr>
              <w:t xml:space="preserve">及样品</w:t>
            </w:r>
            <w:r>
              <w:rPr>
                <w:rFonts w:hint="eastAsia" w:ascii="宋体" w:hAnsi="宋体" w:eastAsia="宋体" w:cs="宋体"/>
                <w:color w:val="auto"/>
                <w:sz w:val="24"/>
                <w:highlight w:val="none"/>
              </w:rPr>
              <w:t xml:space="preserve">优劣顺序排列。中标候选人应当不超过3个，并标明排序。</w:t>
            </w:r>
            <w:r/>
          </w:p>
        </w:tc>
      </w:tr>
      <w:tr>
        <w:trPr>
          <w:trHeight w:val="1708"/>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在一至三年内禁止参加政府采购活动，列入政府采购严重违法失信行为记录名单。</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670"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六、询问和质疑</w:t>
            </w:r>
            <w:r/>
          </w:p>
        </w:tc>
      </w:tr>
      <w:tr>
        <w:trPr/>
        <w:tc>
          <w:tcPr>
            <w:tcW w:w="1368"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w:t>
            </w:r>
            <w:r/>
          </w:p>
        </w:tc>
        <w:tc>
          <w:tcPr>
            <w:tcW w:w="7670" w:type="dxa"/>
            <w:vAlign w:val="top"/>
            <w:textDirection w:val="lrTb"/>
            <w:noWrap w:val="false"/>
          </w:tcPr>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2、供应商在法定质疑期内一次性提出针对同一采购程序环节的质疑。</w:t>
            </w:r>
            <w:r/>
          </w:p>
          <w:p>
            <w:pPr>
              <w:jc w:val="left"/>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val="en-US" w:eastAsia="zh-CN"/>
              </w:rPr>
              <w:t xml:space="preserve">宋雅</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val="en-US" w:eastAsia="zh-CN"/>
              </w:rPr>
              <w:t xml:space="preserve">0516-83200699</w:t>
            </w:r>
            <w:r/>
          </w:p>
          <w:p>
            <w:pPr>
              <w:jc w:val="left"/>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徐州市云龙区绿地商务城D座5层</w:t>
            </w:r>
            <w:r/>
          </w:p>
        </w:tc>
      </w:tr>
      <w:tr>
        <w:trPr/>
        <w:tc>
          <w:tcPr>
            <w:tcW w:w="1368" w:type="dxa"/>
            <w:vAlign w:val="top"/>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附加说明</w:t>
            </w:r>
            <w:r/>
          </w:p>
        </w:tc>
        <w:tc>
          <w:tcPr>
            <w:tcW w:w="767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p>
        </w:tc>
      </w:tr>
    </w:tbl>
    <w:p>
      <w:pPr>
        <w:pStyle w:val="840"/>
        <w:ind w:left="0" w:firstLine="0"/>
        <w:keepLines/>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5"/>
        <w:rPr>
          <w:rFonts w:hint="eastAsia"/>
          <w:highlight w:val="none"/>
        </w:rPr>
      </w:pPr>
      <w:r>
        <w:rPr>
          <w:rFonts w:hint="eastAsia"/>
          <w:highlight w:val="none"/>
        </w:rPr>
      </w:r>
      <w:r/>
    </w:p>
    <w:p>
      <w:pPr>
        <w:pStyle w:val="825"/>
        <w:rPr>
          <w:rFonts w:hint="eastAsia" w:ascii="宋体" w:hAnsi="宋体" w:eastAsia="宋体" w:cs="宋体"/>
          <w:highlight w:val="none"/>
        </w:rPr>
      </w:pPr>
      <w:r>
        <w:rPr>
          <w:rFonts w:hint="eastAsia" w:ascii="宋体" w:hAnsi="宋体" w:eastAsia="宋体" w:cs="宋体"/>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ind w:left="0" w:right="0" w:firstLine="48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招标代理服务收费标准</w:t>
      </w:r>
      <w:r/>
    </w:p>
    <w:tbl>
      <w:tblPr>
        <w:tblStyle w:val="835"/>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w:t>
            </w:r>
            <w:r>
              <w:rPr>
                <w:rFonts w:hint="eastAsia" w:ascii="宋体" w:hAnsi="宋体" w:eastAsia="宋体" w:cs="宋体"/>
                <w:color w:val="auto"/>
                <w:sz w:val="24"/>
                <w:highlight w:val="none"/>
                <w:lang w:val="en-US" w:eastAsia="zh-CN"/>
              </w:rPr>
              <w:t xml:space="preserve">下</w:t>
            </w:r>
            <w:r>
              <w:rPr>
                <w:rFonts w:hint="eastAsia" w:ascii="宋体" w:hAnsi="宋体" w:eastAsia="宋体" w:cs="宋体"/>
                <w:color w:val="auto"/>
                <w:sz w:val="24"/>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keepLines/>
              <w:keepNext w:val="0"/>
              <w:spacing w:before="0" w:after="0" w:line="360" w:lineRule="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w:t>
            </w:r>
            <w:r>
              <w:rPr>
                <w:rFonts w:hint="eastAsia" w:ascii="宋体" w:hAnsi="宋体" w:eastAsia="宋体" w:cs="宋体"/>
                <w:color w:val="auto"/>
                <w:sz w:val="24"/>
                <w:highlight w:val="none"/>
                <w:lang w:val="en-US" w:eastAsia="zh-CN"/>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bl>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2.代理服务费按差额定率累进法计算。</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0"/>
        <w:jc w:val="both"/>
        <w:keepLines/>
        <w:keepNext w:val="0"/>
        <w:spacing w:before="0" w:after="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w:t>
      </w:r>
      <w:r>
        <w:rPr>
          <w:rFonts w:hint="eastAsia" w:ascii="宋体" w:hAnsi="宋体" w:eastAsia="宋体" w:cs="宋体"/>
          <w:color w:val="auto"/>
          <w:sz w:val="24"/>
          <w:highlight w:val="none"/>
          <w:lang w:eastAsia="zh-CN"/>
        </w:rPr>
        <w:t xml:space="preserve">采购包</w:t>
      </w:r>
      <w:r>
        <w:rPr>
          <w:rFonts w:hint="eastAsia" w:ascii="宋体" w:hAnsi="宋体" w:eastAsia="宋体" w:cs="宋体"/>
          <w:color w:val="auto"/>
          <w:sz w:val="24"/>
          <w:highlight w:val="none"/>
        </w:rPr>
        <w:t xml:space="preserve">）的按一个项目计算。</w:t>
      </w:r>
      <w:r/>
    </w:p>
    <w:p>
      <w:pPr>
        <w:ind w:left="0" w:right="0" w:firstLine="0"/>
        <w:jc w:val="both"/>
        <w:keepLines/>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7.以上价格为协会指导价，双方可根据项目难易程度和优质优价原则协商确定。</w:t>
      </w:r>
      <w:r/>
    </w:p>
    <w:p>
      <w:pPr>
        <w:pStyle w:val="814"/>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8.账户信息</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收款人：江苏瑞阳工程咨询有限公司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开户银行：江苏银行股份有限公司徐州泰隆支行 </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账号：60120188000169389</w:t>
      </w:r>
      <w:r/>
    </w:p>
    <w:p>
      <w:pPr>
        <w:pStyle w:val="825"/>
        <w:keepNext w:val="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keepLines/>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numPr>
          <w:ilvl w:val="0"/>
          <w:numId w:val="5"/>
        </w:numPr>
        <w:jc w:val="center"/>
        <w:keepLines/>
        <w:keepNext w:val="0"/>
        <w:spacing w:line="360" w:lineRule="auto"/>
        <w:widowControl/>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评标标准</w:t>
      </w:r>
      <w:r/>
    </w:p>
    <w:tbl>
      <w:tblPr>
        <w:tblStyle w:val="809"/>
        <w:tblW w:w="88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247"/>
        <w:gridCol w:w="6512"/>
      </w:tblGrid>
      <w:tr>
        <w:trPr>
          <w:jc w:val="center"/>
          <w:trHeight w:val="590"/>
        </w:trPr>
        <w:tc>
          <w:tcPr>
            <w:gridSpan w:val="2"/>
            <w:tcW w:w="2383" w:type="dxa"/>
            <w:vAlign w:val="center"/>
            <w:textDirection w:val="lrTb"/>
            <w:noWrap w:val="false"/>
          </w:tcPr>
          <w:p>
            <w:pPr>
              <w:pStyle w:val="843"/>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1"/>
                <w:szCs w:val="21"/>
                <w:highlight w:val="none"/>
              </w:rPr>
              <w:t xml:space="preserve">评审因素</w:t>
            </w:r>
            <w:r/>
          </w:p>
        </w:tc>
        <w:tc>
          <w:tcPr>
            <w:tcW w:w="6512" w:type="dxa"/>
            <w:vAlign w:val="center"/>
            <w:textDirection w:val="lrTb"/>
            <w:noWrap w:val="false"/>
          </w:tcPr>
          <w:p>
            <w:pPr>
              <w:pStyle w:val="843"/>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评审因素细化和量化</w:t>
            </w:r>
            <w:r/>
          </w:p>
        </w:tc>
      </w:tr>
      <w:tr>
        <w:trPr>
          <w:jc w:val="center"/>
          <w:trHeight w:val="1236"/>
        </w:trPr>
        <w:tc>
          <w:tcPr>
            <w:gridSpan w:val="2"/>
            <w:tcW w:w="2383" w:type="dxa"/>
            <w:vAlign w:val="center"/>
            <w:textDirection w:val="lrTb"/>
            <w:noWrap w:val="false"/>
          </w:tcPr>
          <w:p>
            <w:pPr>
              <w:pStyle w:val="843"/>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价格</w:t>
            </w:r>
            <w:r/>
          </w:p>
          <w:p>
            <w:pPr>
              <w:pStyle w:val="843"/>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（10分）</w:t>
            </w:r>
            <w:r/>
          </w:p>
        </w:tc>
        <w:tc>
          <w:tcPr>
            <w:tcW w:w="6512" w:type="dxa"/>
            <w:vAlign w:val="center"/>
            <w:textDirection w:val="lrTb"/>
            <w:noWrap w:val="false"/>
          </w:tcPr>
          <w:p>
            <w:pPr>
              <w:pStyle w:val="843"/>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投标报价得分=(评标基准价/投标报价)×10（分值计算结果保留两位小数）</w:t>
            </w:r>
            <w:r/>
          </w:p>
        </w:tc>
      </w:tr>
      <w:tr>
        <w:trPr>
          <w:cantSplit/>
          <w:jc w:val="center"/>
          <w:trHeight w:val="1373"/>
        </w:trPr>
        <w:tc>
          <w:tcPr>
            <w:tcW w:w="1136" w:type="dxa"/>
            <w:vAlign w:val="center"/>
            <w:vMerge w:val="restart"/>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项目实施方案（</w:t>
            </w:r>
            <w:r>
              <w:rPr>
                <w:rFonts w:hint="eastAsia" w:ascii="宋体" w:hAnsi="宋体" w:cs="宋体"/>
                <w:sz w:val="24"/>
                <w:szCs w:val="24"/>
                <w:highlight w:val="none"/>
                <w:lang w:val="en-US" w:eastAsia="zh-CN" w:bidi="ar-SA"/>
              </w:rPr>
              <w:t xml:space="preserve">90</w:t>
            </w:r>
            <w:r>
              <w:rPr>
                <w:rFonts w:hint="eastAsia" w:ascii="宋体" w:hAnsi="宋体" w:eastAsia="宋体" w:cs="宋体"/>
                <w:sz w:val="24"/>
                <w:szCs w:val="24"/>
                <w:highlight w:val="none"/>
                <w:lang w:val="en-US" w:eastAsia="zh-CN" w:bidi="ar-SA"/>
              </w:rPr>
              <w:t xml:space="preserve">分）</w:t>
            </w:r>
            <w:r/>
          </w:p>
        </w:tc>
        <w:tc>
          <w:tcPr>
            <w:tcW w:w="1247"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总体工作部署方案</w:t>
            </w:r>
            <w:r/>
          </w:p>
          <w:p>
            <w:pPr>
              <w:jc w:val="cente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（15分）</w:t>
            </w:r>
            <w:r/>
          </w:p>
        </w:tc>
        <w:tc>
          <w:tcPr>
            <w:tcW w:w="6512" w:type="dxa"/>
            <w:vAlign w:val="center"/>
            <w:textDirection w:val="lrTb"/>
            <w:noWrap w:val="false"/>
          </w:tcPr>
          <w:p>
            <w:pPr>
              <w:pStyle w:val="817"/>
              <w:ind w:left="0" w:right="6" w:firstLine="0"/>
              <w:keepLines w:val="0"/>
              <w:keepNext w:val="0"/>
              <w:pageBreakBefore w:val="0"/>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根据投标人</w:t>
            </w:r>
            <w:r>
              <w:rPr>
                <w:rFonts w:hint="eastAsia" w:ascii="宋体" w:hAnsi="宋体" w:eastAsia="宋体" w:cs="宋体"/>
                <w:sz w:val="24"/>
                <w:szCs w:val="24"/>
                <w:highlight w:val="none"/>
                <w:lang w:val="en-US" w:eastAsia="zh-CN" w:bidi="ar-SA"/>
              </w:rPr>
              <w:t xml:space="preserve">投标</w:t>
            </w:r>
            <w:r>
              <w:rPr>
                <w:rFonts w:hint="eastAsia" w:ascii="宋体" w:hAnsi="宋体" w:eastAsia="宋体" w:cs="宋体"/>
                <w:sz w:val="24"/>
                <w:szCs w:val="24"/>
                <w:highlight w:val="none"/>
                <w:lang w:val="zh-CN" w:eastAsia="zh-CN" w:bidi="ar-SA"/>
              </w:rPr>
              <w:t xml:space="preserve">文件的总体工作部署方案的技术先进性、方案周密性、思路清晰合理性、可操作性、科学性进行打分</w:t>
            </w:r>
            <w:r>
              <w:rPr>
                <w:rFonts w:hint="eastAsia" w:ascii="宋体" w:hAnsi="宋体" w:cs="宋体"/>
                <w:sz w:val="24"/>
                <w:szCs w:val="24"/>
                <w:highlight w:val="none"/>
                <w:lang w:val="zh-CN" w:eastAsia="zh-CN" w:bidi="ar-SA"/>
              </w:rPr>
              <w:t xml:space="preserve">，</w:t>
            </w:r>
            <w:r>
              <w:rPr>
                <w:rFonts w:hint="eastAsia" w:ascii="宋体" w:hAnsi="宋体" w:eastAsia="宋体" w:cs="宋体"/>
                <w:sz w:val="24"/>
                <w:highlight w:val="none"/>
              </w:rPr>
              <w:t xml:space="preserve">包括工作思路、服务程序和方法、时间计划等</w:t>
            </w:r>
            <w:r>
              <w:rPr>
                <w:rFonts w:hint="eastAsia" w:ascii="宋体" w:hAnsi="宋体" w:eastAsia="宋体" w:cs="宋体"/>
                <w:sz w:val="24"/>
                <w:szCs w:val="24"/>
                <w:highlight w:val="none"/>
                <w:lang w:val="zh-CN" w:eastAsia="zh-CN" w:bidi="ar-SA"/>
              </w:rPr>
              <w:t xml:space="preserve">：方案科学、合理，描述详细完整，对项目背景解读准确，针对性强的得</w:t>
            </w:r>
            <w:r>
              <w:rPr>
                <w:rFonts w:hint="eastAsia" w:ascii="宋体" w:hAnsi="宋体" w:eastAsia="宋体" w:cs="宋体"/>
                <w:sz w:val="24"/>
                <w:szCs w:val="24"/>
                <w:highlight w:val="none"/>
                <w:lang w:val="en-US" w:eastAsia="zh-CN" w:bidi="ar-SA"/>
              </w:rPr>
              <w:t xml:space="preserve">15</w:t>
            </w:r>
            <w:r>
              <w:rPr>
                <w:rFonts w:hint="eastAsia" w:ascii="宋体" w:hAnsi="宋体" w:eastAsia="宋体" w:cs="宋体"/>
                <w:sz w:val="24"/>
                <w:szCs w:val="24"/>
                <w:highlight w:val="none"/>
                <w:lang w:val="zh-CN" w:eastAsia="zh-CN" w:bidi="ar-SA"/>
              </w:rPr>
              <w:t xml:space="preserve">分；方案较科学合理，描述较完整，对项目背景解读较准确，针对性较强，得</w:t>
            </w: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zh-CN" w:eastAsia="zh-CN" w:bidi="ar-SA"/>
              </w:rPr>
              <w:t xml:space="preserve">分；方案合理性一般，描述一般，对项目背景解读一般，针对性一般的得</w:t>
            </w: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lang w:val="zh-CN" w:eastAsia="zh-CN" w:bidi="ar-SA"/>
              </w:rPr>
              <w:t xml:space="preserve">分；方案合理性、针对性</w:t>
            </w:r>
            <w:r>
              <w:rPr>
                <w:rFonts w:hint="eastAsia" w:ascii="宋体" w:hAnsi="宋体" w:eastAsia="宋体" w:cs="宋体"/>
                <w:sz w:val="24"/>
                <w:szCs w:val="24"/>
                <w:highlight w:val="none"/>
                <w:lang w:val="en-US" w:eastAsia="zh-CN" w:bidi="ar-SA"/>
              </w:rPr>
              <w:t xml:space="preserve">较差</w:t>
            </w:r>
            <w:r>
              <w:rPr>
                <w:rFonts w:hint="eastAsia" w:ascii="宋体" w:hAnsi="宋体" w:eastAsia="宋体" w:cs="宋体"/>
                <w:sz w:val="24"/>
                <w:szCs w:val="24"/>
                <w:highlight w:val="none"/>
                <w:lang w:val="zh-CN" w:eastAsia="zh-CN" w:bidi="ar-SA"/>
              </w:rPr>
              <w:t xml:space="preserve">的得</w:t>
            </w: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zh-CN" w:eastAsia="zh-CN" w:bidi="ar-SA"/>
              </w:rPr>
              <w:t xml:space="preserve">分。</w:t>
            </w:r>
            <w:r/>
          </w:p>
          <w:p>
            <w:pPr>
              <w:pStyle w:val="817"/>
              <w:ind w:left="0" w:right="6" w:firstLine="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未提供不得分，本项目最高15分</w:t>
            </w:r>
            <w:r>
              <w:rPr>
                <w:rFonts w:hint="eastAsia" w:ascii="宋体" w:hAnsi="宋体" w:cs="宋体"/>
                <w:sz w:val="24"/>
                <w:szCs w:val="24"/>
                <w:highlight w:val="none"/>
                <w:lang w:val="en-US" w:eastAsia="zh-CN" w:bidi="ar-SA"/>
              </w:rPr>
              <w:t xml:space="preserve">。</w:t>
            </w:r>
            <w:r/>
          </w:p>
        </w:tc>
      </w:tr>
      <w:tr>
        <w:trPr>
          <w:cantSplit/>
          <w:jc w:val="center"/>
          <w:trHeight w:val="1373"/>
        </w:trPr>
        <w:tc>
          <w:tcPr>
            <w:tcW w:w="11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2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环境保护方案</w:t>
            </w:r>
            <w:r/>
          </w:p>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（10分）</w:t>
            </w:r>
            <w:r/>
          </w:p>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6512"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根据投标人提供的环境保护、环保治理等内容的全面性、合理性、切实可行性进行综合评审打分：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内容全面具体详实、针对性强且切实可行的得10分；内容较全面、针对性较强、较可行的得6分；基本具备不太全面、针对性一般、可行性一般的得3分。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未提供不得分，本项最高10分。</w:t>
            </w:r>
            <w:r/>
          </w:p>
        </w:tc>
      </w:tr>
      <w:tr>
        <w:trPr>
          <w:cantSplit/>
          <w:jc w:val="center"/>
          <w:trHeight w:val="90"/>
        </w:trPr>
        <w:tc>
          <w:tcPr>
            <w:tcW w:w="11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7"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项目</w:t>
            </w:r>
            <w:r>
              <w:rPr>
                <w:rFonts w:hint="eastAsia" w:ascii="宋体" w:hAnsi="宋体" w:eastAsia="宋体" w:cs="宋体"/>
                <w:sz w:val="24"/>
                <w:szCs w:val="24"/>
                <w:highlight w:val="none"/>
                <w:lang w:val="zh-CN" w:eastAsia="zh-CN" w:bidi="ar-SA"/>
              </w:rPr>
              <w:t xml:space="preserve">进度安排</w:t>
            </w:r>
            <w:r/>
          </w:p>
          <w:p>
            <w:pPr>
              <w:jc w:val="cente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w:t>
            </w:r>
            <w:r>
              <w:rPr>
                <w:rFonts w:hint="eastAsia" w:ascii="宋体" w:hAnsi="宋体" w:eastAsia="宋体" w:cs="宋体"/>
                <w:sz w:val="24"/>
                <w:szCs w:val="24"/>
                <w:highlight w:val="none"/>
                <w:lang w:val="en-US" w:eastAsia="zh-CN" w:bidi="ar-SA"/>
              </w:rPr>
              <w:t xml:space="preserve">10分</w:t>
            </w:r>
            <w:r>
              <w:rPr>
                <w:rFonts w:hint="eastAsia" w:ascii="宋体" w:hAnsi="宋体" w:eastAsia="宋体" w:cs="宋体"/>
                <w:sz w:val="24"/>
                <w:szCs w:val="24"/>
                <w:highlight w:val="none"/>
                <w:lang w:val="zh-CN" w:eastAsia="zh-CN" w:bidi="ar-SA"/>
              </w:rPr>
              <w:t xml:space="preserve">）</w:t>
            </w:r>
            <w:r/>
          </w:p>
        </w:tc>
        <w:tc>
          <w:tcPr>
            <w:tcW w:w="6512" w:type="dxa"/>
            <w:vAlign w:val="center"/>
            <w:textDirection w:val="lrTb"/>
            <w:noWrap w:val="false"/>
          </w:tcPr>
          <w:p>
            <w:pPr>
              <w:pStyle w:val="817"/>
              <w:ind w:left="0" w:right="6"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根据投标人</w:t>
            </w:r>
            <w:r>
              <w:rPr>
                <w:rFonts w:hint="eastAsia" w:ascii="宋体" w:hAnsi="宋体" w:eastAsia="宋体" w:cs="宋体"/>
                <w:sz w:val="24"/>
                <w:szCs w:val="24"/>
                <w:highlight w:val="none"/>
                <w:lang w:val="en-US" w:eastAsia="zh-CN" w:bidi="ar-SA"/>
              </w:rPr>
              <w:t xml:space="preserve">投标</w:t>
            </w:r>
            <w:r>
              <w:rPr>
                <w:rFonts w:hint="eastAsia" w:ascii="宋体" w:hAnsi="宋体" w:eastAsia="宋体" w:cs="宋体"/>
                <w:sz w:val="24"/>
                <w:szCs w:val="24"/>
                <w:highlight w:val="none"/>
                <w:lang w:val="zh-CN" w:eastAsia="zh-CN" w:bidi="ar-SA"/>
              </w:rPr>
              <w:t xml:space="preserve">文件的</w:t>
            </w:r>
            <w:r>
              <w:rPr>
                <w:rFonts w:hint="eastAsia" w:ascii="宋体" w:hAnsi="宋体" w:eastAsia="宋体" w:cs="宋体"/>
                <w:sz w:val="24"/>
                <w:szCs w:val="24"/>
                <w:highlight w:val="none"/>
                <w:lang w:val="en-US" w:eastAsia="zh-CN" w:bidi="ar-SA"/>
              </w:rPr>
              <w:t xml:space="preserve">进度计划安排的</w:t>
            </w:r>
            <w:r>
              <w:rPr>
                <w:rFonts w:hint="eastAsia" w:ascii="宋体" w:hAnsi="宋体" w:eastAsia="宋体" w:cs="宋体"/>
                <w:sz w:val="24"/>
                <w:szCs w:val="24"/>
                <w:highlight w:val="none"/>
                <w:lang w:val="zh-CN" w:eastAsia="zh-CN" w:bidi="ar-SA"/>
              </w:rPr>
              <w:t xml:space="preserve">合理性、科学性、完备性进行打分</w:t>
            </w:r>
            <w:r>
              <w:rPr>
                <w:rFonts w:hint="eastAsia" w:ascii="宋体" w:hAnsi="宋体" w:cs="宋体"/>
                <w:sz w:val="24"/>
                <w:szCs w:val="24"/>
                <w:highlight w:val="none"/>
                <w:lang w:val="zh-CN" w:eastAsia="zh-CN" w:bidi="ar-SA"/>
              </w:rPr>
              <w:t xml:space="preserve">，</w:t>
            </w:r>
            <w:r>
              <w:rPr>
                <w:rFonts w:hint="eastAsia" w:ascii="宋体" w:hAnsi="宋体" w:eastAsia="宋体" w:cs="宋体"/>
                <w:sz w:val="24"/>
                <w:highlight w:val="none"/>
              </w:rPr>
              <w:t xml:space="preserve">结合项目特点、项目实施</w:t>
            </w:r>
            <w:r>
              <w:rPr>
                <w:rFonts w:hint="eastAsia" w:ascii="宋体" w:hAnsi="宋体" w:eastAsia="宋体" w:cs="宋体"/>
                <w:sz w:val="24"/>
                <w:szCs w:val="24"/>
                <w:highlight w:val="none"/>
                <w:lang w:val="en-US" w:eastAsia="zh-CN" w:bidi="ar-SA"/>
              </w:rPr>
              <w:t xml:space="preserve">进度计划和进度保证措施符合要求，安排详尽，可操作性强，完全符合项目需求的得10</w:t>
            </w:r>
            <w:r>
              <w:rPr>
                <w:rFonts w:hint="eastAsia" w:ascii="宋体" w:hAnsi="宋体" w:eastAsia="宋体" w:cs="宋体"/>
                <w:sz w:val="24"/>
                <w:szCs w:val="24"/>
                <w:highlight w:val="none"/>
                <w:lang w:val="zh-CN" w:eastAsia="zh-CN" w:bidi="ar-SA"/>
              </w:rPr>
              <w:t xml:space="preserve">分</w:t>
            </w:r>
            <w:r>
              <w:rPr>
                <w:rFonts w:hint="eastAsia" w:ascii="宋体" w:hAnsi="宋体" w:eastAsia="宋体" w:cs="宋体"/>
                <w:sz w:val="24"/>
                <w:szCs w:val="24"/>
                <w:highlight w:val="none"/>
                <w:lang w:val="en-US" w:eastAsia="zh-CN" w:bidi="ar-SA"/>
              </w:rPr>
              <w:t xml:space="preserve">；进度计划安排较合理，进度保证措施可操作性较强，基本响应项目需求的得6</w:t>
            </w:r>
            <w:r>
              <w:rPr>
                <w:rFonts w:hint="eastAsia" w:ascii="宋体" w:hAnsi="宋体" w:eastAsia="宋体" w:cs="宋体"/>
                <w:sz w:val="24"/>
                <w:szCs w:val="24"/>
                <w:highlight w:val="none"/>
                <w:lang w:val="zh-CN" w:eastAsia="zh-CN" w:bidi="ar-SA"/>
              </w:rPr>
              <w:t xml:space="preserve">分</w:t>
            </w:r>
            <w:r>
              <w:rPr>
                <w:rFonts w:hint="eastAsia" w:ascii="宋体" w:hAnsi="宋体" w:eastAsia="宋体" w:cs="宋体"/>
                <w:sz w:val="24"/>
                <w:szCs w:val="24"/>
                <w:highlight w:val="none"/>
                <w:lang w:val="en-US" w:eastAsia="zh-CN" w:bidi="ar-SA"/>
              </w:rPr>
              <w:t xml:space="preserve">；进度计划安排不够合理，可操作性一般，部分满足项目需求的得3分</w:t>
            </w:r>
            <w:r>
              <w:rPr>
                <w:rFonts w:hint="eastAsia" w:ascii="宋体" w:hAnsi="宋体" w:cs="宋体"/>
                <w:sz w:val="24"/>
                <w:szCs w:val="24"/>
                <w:highlight w:val="none"/>
                <w:lang w:val="en-US" w:eastAsia="zh-CN" w:bidi="ar-SA"/>
              </w:rPr>
              <w:t xml:space="preserve">。</w:t>
            </w:r>
            <w:r/>
          </w:p>
          <w:p>
            <w:pPr>
              <w:pStyle w:val="817"/>
              <w:ind w:left="0" w:right="6" w:firstLine="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未提供不得分，本项最高10分。</w:t>
            </w:r>
            <w:r/>
          </w:p>
        </w:tc>
      </w:tr>
      <w:tr>
        <w:trPr>
          <w:cantSplit/>
          <w:jc w:val="center"/>
          <w:trHeight w:val="838"/>
        </w:trPr>
        <w:tc>
          <w:tcPr>
            <w:tcW w:w="11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7"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项目质量保证措施（10）</w:t>
            </w:r>
            <w:r/>
          </w:p>
        </w:tc>
        <w:tc>
          <w:tcPr>
            <w:tcW w:w="6512" w:type="dxa"/>
            <w:vAlign w:val="center"/>
            <w:textDirection w:val="lrTb"/>
            <w:noWrap w:val="false"/>
          </w:tcPr>
          <w:p>
            <w:pPr>
              <w:pStyle w:val="817"/>
              <w:ind w:left="0" w:right="6" w:firstLine="0"/>
              <w:keepLines w:val="0"/>
              <w:keepNext w:val="0"/>
              <w:pageBreakBefore w:val="0"/>
              <w:spacing w:line="360" w:lineRule="auto"/>
              <w:rPr>
                <w:rFonts w:hint="default" w:ascii="宋体" w:hAnsi="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根据投标人</w:t>
            </w:r>
            <w:r>
              <w:rPr>
                <w:rFonts w:hint="eastAsia" w:ascii="宋体" w:hAnsi="宋体" w:eastAsia="宋体" w:cs="宋体"/>
                <w:sz w:val="24"/>
                <w:szCs w:val="24"/>
                <w:highlight w:val="none"/>
                <w:lang w:val="en-US" w:eastAsia="zh-CN" w:bidi="ar-SA"/>
              </w:rPr>
              <w:t xml:space="preserve">投标</w:t>
            </w:r>
            <w:r>
              <w:rPr>
                <w:rFonts w:hint="eastAsia" w:ascii="宋体" w:hAnsi="宋体" w:eastAsia="宋体" w:cs="宋体"/>
                <w:sz w:val="24"/>
                <w:szCs w:val="24"/>
                <w:highlight w:val="none"/>
                <w:lang w:val="zh-CN" w:eastAsia="zh-CN" w:bidi="ar-SA"/>
              </w:rPr>
              <w:t xml:space="preserve">文件的</w:t>
            </w:r>
            <w:r>
              <w:rPr>
                <w:rFonts w:hint="eastAsia" w:ascii="宋体" w:hAnsi="宋体" w:eastAsia="宋体" w:cs="宋体"/>
                <w:sz w:val="24"/>
                <w:szCs w:val="24"/>
                <w:highlight w:val="none"/>
                <w:lang w:val="en-US" w:eastAsia="zh-CN" w:bidi="ar-SA"/>
              </w:rPr>
              <w:t xml:space="preserve">质量保证措施的</w:t>
            </w:r>
            <w:r>
              <w:rPr>
                <w:rFonts w:hint="eastAsia" w:ascii="宋体" w:hAnsi="宋体" w:eastAsia="宋体" w:cs="宋体"/>
                <w:sz w:val="24"/>
                <w:szCs w:val="24"/>
                <w:highlight w:val="none"/>
                <w:lang w:val="zh-CN" w:eastAsia="zh-CN" w:bidi="ar-SA"/>
              </w:rPr>
              <w:t xml:space="preserve">合理性、科学性、完备性</w:t>
            </w:r>
            <w:r>
              <w:rPr>
                <w:rFonts w:hint="eastAsia" w:ascii="宋体" w:hAnsi="宋体" w:cs="宋体"/>
                <w:sz w:val="24"/>
                <w:szCs w:val="24"/>
                <w:highlight w:val="none"/>
                <w:lang w:val="zh-CN" w:eastAsia="zh-CN" w:bidi="ar-SA"/>
              </w:rPr>
              <w:t xml:space="preserve">、</w:t>
            </w:r>
            <w:r>
              <w:rPr>
                <w:rFonts w:hint="eastAsia" w:ascii="宋体" w:hAnsi="宋体" w:cs="宋体"/>
                <w:sz w:val="24"/>
                <w:szCs w:val="24"/>
                <w:highlight w:val="none"/>
                <w:lang w:val="en-US" w:eastAsia="zh-CN" w:bidi="ar-SA"/>
              </w:rPr>
              <w:t xml:space="preserve">对</w:t>
            </w:r>
            <w:r>
              <w:rPr>
                <w:rFonts w:hint="eastAsia" w:ascii="宋体" w:hAnsi="宋体" w:eastAsia="宋体" w:cs="宋体"/>
                <w:color w:val="auto"/>
                <w:sz w:val="24"/>
                <w:szCs w:val="24"/>
              </w:rPr>
              <w:t xml:space="preserve">提供的项目成果质量目标是否明确保证措施是否切实可行、责任明确，质量承诺是否符合项目要求</w:t>
            </w:r>
            <w:r>
              <w:rPr>
                <w:rFonts w:hint="eastAsia" w:ascii="宋体" w:hAnsi="宋体" w:eastAsia="宋体" w:cs="宋体"/>
                <w:sz w:val="24"/>
                <w:szCs w:val="24"/>
                <w:highlight w:val="none"/>
                <w:lang w:val="zh-CN" w:eastAsia="zh-CN" w:bidi="ar-SA"/>
              </w:rPr>
              <w:t xml:space="preserve">进行打分</w:t>
            </w:r>
            <w:r>
              <w:rPr>
                <w:rFonts w:hint="eastAsia" w:ascii="宋体" w:hAnsi="宋体" w:cs="宋体"/>
                <w:sz w:val="24"/>
                <w:szCs w:val="24"/>
                <w:highlight w:val="none"/>
                <w:lang w:val="zh-CN" w:eastAsia="zh-CN" w:bidi="ar-SA"/>
              </w:rPr>
              <w:t xml:space="preserve">；</w:t>
            </w:r>
            <w:bookmarkStart w:id="4" w:name="_GoBack"/>
            <w:r/>
            <w:bookmarkEnd w:id="4"/>
            <w:r/>
            <w:r/>
          </w:p>
          <w:p>
            <w:pPr>
              <w:pStyle w:val="817"/>
              <w:ind w:left="0" w:right="6"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质量保证措施符合要求，内容详尽，可操作性强，完全符合项目需求的得10</w:t>
            </w:r>
            <w:r>
              <w:rPr>
                <w:rFonts w:hint="eastAsia" w:ascii="宋体" w:hAnsi="宋体" w:eastAsia="宋体" w:cs="宋体"/>
                <w:sz w:val="24"/>
                <w:szCs w:val="24"/>
                <w:highlight w:val="none"/>
                <w:lang w:val="zh-CN" w:eastAsia="zh-CN" w:bidi="ar-SA"/>
              </w:rPr>
              <w:t xml:space="preserve">分</w:t>
            </w:r>
            <w:r>
              <w:rPr>
                <w:rFonts w:hint="eastAsia" w:ascii="宋体" w:hAnsi="宋体" w:eastAsia="宋体" w:cs="宋体"/>
                <w:sz w:val="24"/>
                <w:szCs w:val="24"/>
                <w:highlight w:val="none"/>
                <w:lang w:val="en-US" w:eastAsia="zh-CN" w:bidi="ar-SA"/>
              </w:rPr>
              <w:t xml:space="preserve">；质量保证措施较合理，可操作性较强，基本符合项目需求的得6</w:t>
            </w:r>
            <w:r>
              <w:rPr>
                <w:rFonts w:hint="eastAsia" w:ascii="宋体" w:hAnsi="宋体" w:eastAsia="宋体" w:cs="宋体"/>
                <w:sz w:val="24"/>
                <w:szCs w:val="24"/>
                <w:highlight w:val="none"/>
                <w:lang w:val="zh-CN" w:eastAsia="zh-CN" w:bidi="ar-SA"/>
              </w:rPr>
              <w:t xml:space="preserve">分</w:t>
            </w:r>
            <w:r>
              <w:rPr>
                <w:rFonts w:hint="eastAsia" w:ascii="宋体" w:hAnsi="宋体" w:eastAsia="宋体" w:cs="宋体"/>
                <w:sz w:val="24"/>
                <w:szCs w:val="24"/>
                <w:highlight w:val="none"/>
                <w:lang w:val="en-US" w:eastAsia="zh-CN" w:bidi="ar-SA"/>
              </w:rPr>
              <w:t xml:space="preserve">；质量保证措施不够合理，可操作性一般，部分满足项目需求的得3分</w:t>
            </w:r>
            <w:r>
              <w:rPr>
                <w:rFonts w:hint="eastAsia" w:ascii="宋体" w:hAnsi="宋体" w:cs="宋体"/>
                <w:sz w:val="24"/>
                <w:szCs w:val="24"/>
                <w:highlight w:val="none"/>
                <w:lang w:val="en-US" w:eastAsia="zh-CN" w:bidi="ar-SA"/>
              </w:rPr>
              <w:t xml:space="preserve">。</w:t>
            </w:r>
            <w:r/>
          </w:p>
          <w:p>
            <w:pPr>
              <w:pStyle w:val="817"/>
              <w:ind w:left="0" w:right="6" w:firstLine="0"/>
              <w:keepLines w:val="0"/>
              <w:keepNext w:val="0"/>
              <w:pageBreakBefore w:val="0"/>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未提供不得分，本项最高10分。</w:t>
            </w:r>
            <w:r/>
          </w:p>
        </w:tc>
      </w:tr>
      <w:tr>
        <w:trPr>
          <w:cantSplit/>
          <w:jc w:val="center"/>
          <w:trHeight w:val="1369"/>
        </w:trPr>
        <w:tc>
          <w:tcPr>
            <w:tcW w:w="11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247"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项目安全控制</w:t>
            </w:r>
            <w:r/>
          </w:p>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c>
          <w:tcPr>
            <w:shd w:val="clear" w:color="auto" w:fill="auto"/>
            <w:tcW w:w="6512" w:type="dxa"/>
            <w:vAlign w:val="center"/>
            <w:textDirection w:val="lrTb"/>
            <w:noWrap w:val="false"/>
          </w:tcPr>
          <w:p>
            <w:pPr>
              <w:keepLines w:val="0"/>
              <w:keepNext w:val="0"/>
              <w:pageBreakBefore w:val="0"/>
              <w:spacing w:line="360" w:lineRule="auto"/>
              <w:widowControl/>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根据投标人提供的安全管理体系与制度、安全管理团队配置、安全技术方案与措施等方面进行综合评价</w:t>
            </w:r>
            <w:r>
              <w:rPr>
                <w:rFonts w:hint="eastAsia" w:ascii="宋体" w:hAnsi="宋体" w:cs="宋体"/>
                <w:sz w:val="24"/>
                <w:szCs w:val="24"/>
                <w:highlight w:val="none"/>
                <w:lang w:val="zh-CN" w:eastAsia="zh-CN" w:bidi="ar-SA"/>
              </w:rPr>
              <w:t xml:space="preserve">，</w:t>
            </w:r>
            <w:r>
              <w:rPr>
                <w:rFonts w:hint="eastAsia" w:ascii="宋体" w:hAnsi="宋体" w:eastAsia="宋体" w:cs="宋体"/>
                <w:sz w:val="24"/>
                <w:szCs w:val="24"/>
                <w:highlight w:val="none"/>
                <w:lang w:val="zh-CN" w:eastAsia="zh-CN" w:bidi="ar-SA"/>
              </w:rPr>
              <w:t xml:space="preserve">建立安全责任制度，</w:t>
            </w:r>
            <w:r>
              <w:rPr>
                <w:rFonts w:hint="default" w:ascii="宋体" w:hAnsi="宋体" w:eastAsia="宋体" w:cs="宋体"/>
                <w:sz w:val="24"/>
                <w:szCs w:val="24"/>
                <w:highlight w:val="none"/>
                <w:lang w:val="en-US" w:eastAsia="zh-CN" w:bidi="ar-SA"/>
              </w:rPr>
              <w:t xml:space="preserve">科学、合理，针对性强的得</w:t>
            </w:r>
            <w:r>
              <w:rPr>
                <w:rFonts w:hint="eastAsia" w:ascii="宋体" w:hAnsi="宋体" w:cs="宋体"/>
                <w:sz w:val="24"/>
                <w:szCs w:val="24"/>
                <w:highlight w:val="none"/>
                <w:lang w:val="en-US" w:eastAsia="zh-CN" w:bidi="ar-SA"/>
              </w:rPr>
              <w:t xml:space="preserve">8</w:t>
            </w:r>
            <w:r>
              <w:rPr>
                <w:rFonts w:hint="default" w:ascii="宋体" w:hAnsi="宋体" w:eastAsia="宋体" w:cs="宋体"/>
                <w:sz w:val="24"/>
                <w:szCs w:val="24"/>
                <w:highlight w:val="none"/>
                <w:lang w:val="en-US" w:eastAsia="zh-CN" w:bidi="ar-SA"/>
              </w:rPr>
              <w:t xml:space="preserve">分；较合理，针对性较强的得</w:t>
            </w:r>
            <w:r>
              <w:rPr>
                <w:rFonts w:hint="eastAsia" w:ascii="宋体" w:hAnsi="宋体" w:cs="宋体"/>
                <w:sz w:val="24"/>
                <w:szCs w:val="24"/>
                <w:highlight w:val="none"/>
                <w:lang w:val="en-US" w:eastAsia="zh-CN" w:bidi="ar-SA"/>
              </w:rPr>
              <w:t xml:space="preserve">5</w:t>
            </w:r>
            <w:r>
              <w:rPr>
                <w:rFonts w:hint="default"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t xml:space="preserve">；不够合理，可操作性一般，部分满足项目需求的得3分</w:t>
            </w:r>
            <w:r>
              <w:rPr>
                <w:rFonts w:hint="eastAsia" w:ascii="宋体" w:hAnsi="宋体" w:cs="宋体"/>
                <w:sz w:val="24"/>
                <w:szCs w:val="24"/>
                <w:highlight w:val="none"/>
                <w:lang w:val="en-US" w:eastAsia="zh-CN" w:bidi="ar-SA"/>
              </w:rPr>
              <w:t xml:space="preserve">。</w:t>
            </w:r>
            <w:r/>
          </w:p>
          <w:p>
            <w:pPr>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w:t>
            </w:r>
            <w:r>
              <w:rPr>
                <w:rFonts w:hint="default" w:ascii="宋体" w:hAnsi="宋体" w:eastAsia="宋体" w:cs="宋体"/>
                <w:sz w:val="24"/>
                <w:szCs w:val="24"/>
                <w:highlight w:val="none"/>
                <w:lang w:val="en-US" w:eastAsia="zh-CN" w:bidi="ar-SA"/>
              </w:rPr>
              <w:t xml:space="preserve">不得分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zh-CN" w:eastAsia="zh-CN" w:bidi="ar-SA"/>
              </w:rPr>
              <w:t xml:space="preserve">本项最高得</w:t>
            </w:r>
            <w:r>
              <w:rPr>
                <w:rFonts w:hint="eastAsia" w:ascii="宋体" w:hAnsi="宋体" w:cs="宋体"/>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分。</w:t>
            </w:r>
            <w:r/>
          </w:p>
        </w:tc>
      </w:tr>
      <w:tr>
        <w:trPr>
          <w:cantSplit/>
          <w:jc w:val="center"/>
          <w:trHeight w:val="1369"/>
        </w:trPr>
        <w:tc>
          <w:tcPr>
            <w:tcW w:w="11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247"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保密措施（</w:t>
            </w: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分）</w:t>
            </w:r>
            <w:r/>
          </w:p>
        </w:tc>
        <w:tc>
          <w:tcPr>
            <w:shd w:val="clear" w:color="auto" w:fill="auto"/>
            <w:tcW w:w="6512" w:type="dxa"/>
            <w:vAlign w:val="center"/>
            <w:textDirection w:val="lrTb"/>
            <w:noWrap w:val="false"/>
          </w:tcPr>
          <w:p>
            <w:pPr>
              <w:pStyle w:val="817"/>
              <w:ind w:left="0" w:right="6" w:firstLine="0"/>
              <w:keepLines w:val="0"/>
              <w:keepNext w:val="0"/>
              <w:pageBreakBefore w:val="0"/>
              <w:spacing w:line="360" w:lineRule="auto"/>
              <w:rPr>
                <w:rFonts w:hint="eastAsia" w:ascii="宋体" w:hAnsi="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根据投标人提供的制定</w:t>
            </w:r>
            <w:r>
              <w:rPr>
                <w:rFonts w:hint="eastAsia" w:ascii="宋体" w:hAnsi="宋体" w:eastAsia="宋体" w:cs="宋体"/>
                <w:sz w:val="24"/>
                <w:szCs w:val="24"/>
                <w:highlight w:val="none"/>
                <w:lang w:val="en-US" w:eastAsia="zh-CN" w:bidi="ar-SA"/>
              </w:rPr>
              <w:t xml:space="preserve">保密措施</w:t>
            </w:r>
            <w:r>
              <w:rPr>
                <w:rFonts w:hint="eastAsia" w:ascii="宋体" w:hAnsi="宋体" w:cs="宋体"/>
                <w:sz w:val="24"/>
                <w:szCs w:val="24"/>
                <w:highlight w:val="none"/>
                <w:lang w:val="en-US" w:eastAsia="zh-CN" w:bidi="ar-SA"/>
              </w:rPr>
              <w:t xml:space="preserve">方案进行评分，对项目</w:t>
            </w:r>
            <w:r>
              <w:rPr>
                <w:rFonts w:hint="eastAsia" w:ascii="宋体" w:hAnsi="宋体" w:eastAsia="宋体" w:cs="宋体"/>
                <w:sz w:val="24"/>
                <w:szCs w:val="24"/>
                <w:highlight w:val="none"/>
                <w:lang w:val="zh-CN" w:eastAsia="zh-CN" w:bidi="ar-SA"/>
              </w:rPr>
              <w:t xml:space="preserve">数据资料保密管理制度，</w:t>
            </w:r>
            <w:r>
              <w:rPr>
                <w:rFonts w:hint="default" w:ascii="宋体" w:hAnsi="宋体" w:eastAsia="宋体" w:cs="宋体"/>
                <w:sz w:val="24"/>
                <w:szCs w:val="24"/>
                <w:highlight w:val="none"/>
                <w:lang w:val="en-US" w:eastAsia="zh-CN" w:bidi="ar-SA"/>
              </w:rPr>
              <w:t xml:space="preserve">科学、合理，针对性强的得</w:t>
            </w:r>
            <w:r>
              <w:rPr>
                <w:rFonts w:hint="eastAsia" w:ascii="宋体" w:hAnsi="宋体" w:eastAsia="宋体" w:cs="宋体"/>
                <w:sz w:val="24"/>
                <w:szCs w:val="24"/>
                <w:highlight w:val="none"/>
                <w:lang w:val="en-US" w:eastAsia="zh-CN" w:bidi="ar-SA"/>
              </w:rPr>
              <w:t xml:space="preserve">7</w:t>
            </w:r>
            <w:r>
              <w:rPr>
                <w:rFonts w:hint="default"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t xml:space="preserve">保密措施</w:t>
            </w:r>
            <w:r>
              <w:rPr>
                <w:rFonts w:hint="default" w:ascii="宋体" w:hAnsi="宋体" w:eastAsia="宋体" w:cs="宋体"/>
                <w:sz w:val="24"/>
                <w:szCs w:val="24"/>
                <w:highlight w:val="none"/>
                <w:lang w:val="en-US" w:eastAsia="zh-CN" w:bidi="ar-SA"/>
              </w:rPr>
              <w:t xml:space="preserve">较合理，针对性较强的得</w:t>
            </w:r>
            <w:r>
              <w:rPr>
                <w:rFonts w:hint="eastAsia" w:ascii="宋体" w:hAnsi="宋体" w:eastAsia="宋体" w:cs="宋体"/>
                <w:sz w:val="24"/>
                <w:szCs w:val="24"/>
                <w:highlight w:val="none"/>
                <w:lang w:val="en-US" w:eastAsia="zh-CN" w:bidi="ar-SA"/>
              </w:rPr>
              <w:t xml:space="preserve">4</w:t>
            </w:r>
            <w:r>
              <w:rPr>
                <w:rFonts w:hint="default" w:ascii="宋体" w:hAnsi="宋体" w:eastAsia="宋体" w:cs="宋体"/>
                <w:sz w:val="24"/>
                <w:szCs w:val="24"/>
                <w:highlight w:val="none"/>
                <w:lang w:val="en-US" w:eastAsia="zh-CN" w:bidi="ar-SA"/>
              </w:rPr>
              <w:t xml:space="preserve">分</w:t>
            </w:r>
            <w:r>
              <w:rPr>
                <w:rFonts w:hint="eastAsia" w:ascii="宋体" w:hAnsi="宋体" w:eastAsia="宋体" w:cs="宋体"/>
                <w:sz w:val="24"/>
                <w:szCs w:val="24"/>
                <w:highlight w:val="none"/>
                <w:lang w:val="en-US" w:eastAsia="zh-CN" w:bidi="ar-SA"/>
              </w:rPr>
              <w:t xml:space="preserve">；保密措施不够合理，针对性一般的得2分</w:t>
            </w:r>
            <w:r>
              <w:rPr>
                <w:rFonts w:hint="eastAsia" w:ascii="宋体" w:hAnsi="宋体" w:cs="宋体"/>
                <w:sz w:val="24"/>
                <w:szCs w:val="24"/>
                <w:highlight w:val="none"/>
                <w:lang w:val="en-US" w:eastAsia="zh-CN" w:bidi="ar-SA"/>
              </w:rPr>
              <w:t xml:space="preserve">。</w:t>
            </w:r>
            <w:r/>
          </w:p>
          <w:p>
            <w:pPr>
              <w:pStyle w:val="817"/>
              <w:ind w:left="0" w:right="6" w:firstLine="0"/>
              <w:keepLines w:val="0"/>
              <w:keepNext w:val="0"/>
              <w:pageBreakBefore w:val="0"/>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未提供不得分，</w:t>
            </w:r>
            <w:r>
              <w:rPr>
                <w:rFonts w:hint="eastAsia" w:ascii="宋体" w:hAnsi="宋体" w:eastAsia="宋体" w:cs="宋体"/>
                <w:sz w:val="24"/>
                <w:szCs w:val="24"/>
                <w:highlight w:val="none"/>
                <w:lang w:val="zh-CN" w:eastAsia="zh-CN" w:bidi="ar-SA"/>
              </w:rPr>
              <w:t xml:space="preserve">本项最高得</w:t>
            </w:r>
            <w:r>
              <w:rPr>
                <w:rFonts w:hint="eastAsia" w:ascii="宋体" w:hAnsi="宋体" w:eastAsia="宋体" w:cs="宋体"/>
                <w:sz w:val="24"/>
                <w:szCs w:val="24"/>
                <w:highlight w:val="none"/>
                <w:lang w:val="en-US" w:eastAsia="zh-CN" w:bidi="ar-SA"/>
              </w:rPr>
              <w:t xml:space="preserve">7分。</w:t>
            </w:r>
            <w:r/>
          </w:p>
        </w:tc>
      </w:tr>
      <w:tr>
        <w:trPr>
          <w:cantSplit/>
          <w:jc w:val="center"/>
          <w:trHeight w:val="1552"/>
        </w:trPr>
        <w:tc>
          <w:tcPr>
            <w:shd w:val="clear" w:color="auto" w:fill="auto"/>
            <w:tcW w:w="113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2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应急方案</w:t>
            </w:r>
            <w:r/>
          </w:p>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（10分）</w:t>
            </w:r>
            <w:r/>
          </w:p>
        </w:tc>
        <w:tc>
          <w:tcPr>
            <w:shd w:val="clear" w:color="auto" w:fill="auto"/>
            <w:tcW w:w="6512"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依据投标文件中的应急处置预案、安全保障措施、进行综合评分</w:t>
            </w:r>
            <w:r>
              <w:rPr>
                <w:rFonts w:hint="eastAsia" w:ascii="宋体" w:hAnsi="宋体" w:cs="宋体"/>
                <w:sz w:val="24"/>
                <w:highlight w:val="none"/>
                <w:lang w:val="en-US" w:eastAsia="zh-CN"/>
              </w:rPr>
              <w:t xml:space="preserve">，</w:t>
            </w:r>
            <w:r>
              <w:rPr>
                <w:rFonts w:hint="eastAsia" w:ascii="宋体" w:hAnsi="宋体" w:eastAsia="宋体" w:cs="宋体"/>
                <w:sz w:val="24"/>
                <w:szCs w:val="24"/>
                <w:highlight w:val="none"/>
                <w:lang w:val="en-US" w:eastAsia="zh-CN" w:bidi="ar-SA"/>
              </w:rPr>
              <w:t xml:space="preserve">投标人投标文件中应急方案内容的全面性、针对性、切实可行性进行评价。内容包括但不限于安全管理培训方案及计划、复垦作业实施时的安全组织防护措施、遇到安全问题时的处理方案等。</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全面具体详实有针对性得10分；较全面得8分；基本具备的得6分；不太全面得3分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内容较差，无针对性得1分。</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未提供不得分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最高得10分。</w:t>
            </w:r>
            <w:r/>
          </w:p>
        </w:tc>
      </w:tr>
      <w:tr>
        <w:trPr>
          <w:cantSplit/>
          <w:jc w:val="center"/>
          <w:trHeight w:val="1265"/>
        </w:trPr>
        <w:tc>
          <w:tcPr>
            <w:tcW w:w="11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7"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服务承诺（10分）</w:t>
            </w:r>
            <w:r/>
          </w:p>
        </w:tc>
        <w:tc>
          <w:tcPr>
            <w:tcW w:w="6512"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zh-CN" w:bidi="ar-SA"/>
              </w:rPr>
              <w:t xml:space="preserve">根据</w:t>
            </w:r>
            <w:r>
              <w:rPr>
                <w:rFonts w:hint="eastAsia" w:ascii="宋体" w:hAnsi="宋体" w:eastAsia="宋体" w:cs="宋体"/>
                <w:sz w:val="24"/>
                <w:szCs w:val="24"/>
                <w:highlight w:val="none"/>
                <w:lang w:val="en-US" w:eastAsia="zh-CN" w:bidi="ar-SA"/>
              </w:rPr>
              <w:t xml:space="preserve">投标人投标</w:t>
            </w:r>
            <w:r>
              <w:rPr>
                <w:rFonts w:hint="eastAsia" w:ascii="宋体" w:hAnsi="宋体" w:eastAsia="宋体" w:cs="宋体"/>
                <w:sz w:val="24"/>
                <w:szCs w:val="24"/>
                <w:highlight w:val="none"/>
                <w:lang w:val="zh-CN" w:eastAsia="zh-CN" w:bidi="ar-SA"/>
              </w:rPr>
              <w:t xml:space="preserve">文件中提出后续服务承诺等相关内容进行打分，</w:t>
            </w:r>
            <w:r>
              <w:rPr>
                <w:rFonts w:hint="eastAsia" w:ascii="宋体" w:hAnsi="宋体" w:cs="宋体"/>
                <w:sz w:val="24"/>
                <w:szCs w:val="24"/>
                <w:highlight w:val="none"/>
                <w:lang w:val="en-US" w:eastAsia="zh-CN" w:bidi="ar-SA"/>
              </w:rPr>
              <w:t xml:space="preserve">对</w:t>
            </w:r>
            <w:r>
              <w:rPr>
                <w:rFonts w:hint="eastAsia" w:ascii="宋体" w:hAnsi="宋体" w:eastAsia="宋体" w:cs="宋体"/>
                <w:sz w:val="24"/>
                <w:highlight w:val="none"/>
              </w:rPr>
              <w:t xml:space="preserve">投标服务和质量控制方案中组织机构、责任制、职责和制度建立等方面进行综合评定</w:t>
            </w:r>
            <w:r>
              <w:rPr>
                <w:rFonts w:hint="eastAsia" w:ascii="宋体" w:hAnsi="宋体" w:cs="宋体"/>
                <w:sz w:val="24"/>
                <w:highlight w:val="none"/>
                <w:lang w:eastAsia="zh-CN"/>
              </w:rPr>
              <w:t xml:space="preserve">，</w:t>
            </w:r>
            <w:r>
              <w:rPr>
                <w:rFonts w:hint="eastAsia" w:ascii="宋体" w:hAnsi="宋体" w:eastAsia="宋体" w:cs="宋体"/>
                <w:sz w:val="24"/>
                <w:szCs w:val="24"/>
                <w:highlight w:val="none"/>
                <w:lang w:val="en-US" w:eastAsia="zh-CN" w:bidi="ar-SA"/>
              </w:rPr>
              <w:t xml:space="preserve">内容全面、条理清晰、流程规范，优于项目要求的</w:t>
            </w:r>
            <w:r>
              <w:rPr>
                <w:rFonts w:hint="eastAsia" w:ascii="宋体" w:hAnsi="宋体" w:eastAsia="宋体" w:cs="宋体"/>
                <w:sz w:val="24"/>
                <w:szCs w:val="24"/>
                <w:highlight w:val="none"/>
                <w:lang w:val="zh-CN" w:eastAsia="zh-CN" w:bidi="ar-SA"/>
              </w:rPr>
              <w:t xml:space="preserve">得</w:t>
            </w: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lang w:val="zh-CN" w:eastAsia="zh-CN" w:bidi="ar-SA"/>
              </w:rPr>
              <w:t xml:space="preserve">分</w:t>
            </w:r>
            <w:r>
              <w:rPr>
                <w:rFonts w:hint="eastAsia" w:ascii="宋体" w:hAnsi="宋体" w:cs="宋体"/>
                <w:sz w:val="24"/>
                <w:szCs w:val="24"/>
                <w:highlight w:val="none"/>
                <w:lang w:val="zh-CN" w:eastAsia="zh-CN" w:bidi="ar-SA"/>
              </w:rPr>
              <w:t xml:space="preserve">；</w:t>
            </w:r>
            <w:r>
              <w:rPr>
                <w:rFonts w:hint="eastAsia" w:ascii="宋体" w:hAnsi="宋体" w:eastAsia="宋体" w:cs="宋体"/>
                <w:sz w:val="24"/>
                <w:szCs w:val="24"/>
                <w:highlight w:val="none"/>
                <w:lang w:val="zh-CN" w:eastAsia="zh-CN" w:bidi="ar-SA"/>
              </w:rPr>
              <w:t xml:space="preserve">方案基本详实,能够较好满足项目要求的得6分</w:t>
            </w:r>
            <w:r>
              <w:rPr>
                <w:rFonts w:hint="eastAsia" w:ascii="宋体" w:hAnsi="宋体" w:cs="宋体"/>
                <w:sz w:val="24"/>
                <w:szCs w:val="24"/>
                <w:highlight w:val="none"/>
                <w:lang w:val="zh-CN" w:eastAsia="zh-CN" w:bidi="ar-SA"/>
              </w:rPr>
              <w:t xml:space="preserve">；</w:t>
            </w:r>
            <w:r>
              <w:rPr>
                <w:rFonts w:hint="eastAsia" w:ascii="宋体" w:hAnsi="宋体" w:eastAsia="宋体" w:cs="宋体"/>
                <w:sz w:val="24"/>
                <w:szCs w:val="24"/>
                <w:highlight w:val="none"/>
                <w:lang w:val="zh-CN" w:eastAsia="zh-CN" w:bidi="ar-SA"/>
              </w:rPr>
              <w:t xml:space="preserve">内容一般，但能满足招标文件基本要求的得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p>
          <w:p>
            <w:pPr>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未</w:t>
            </w:r>
            <w:r>
              <w:rPr>
                <w:rFonts w:hint="eastAsia" w:ascii="宋体" w:hAnsi="宋体" w:eastAsia="宋体" w:cs="宋体"/>
                <w:sz w:val="24"/>
                <w:szCs w:val="24"/>
                <w:highlight w:val="none"/>
                <w:lang w:val="zh-CN" w:eastAsia="zh-CN" w:bidi="ar-SA"/>
              </w:rPr>
              <w:t xml:space="preserve">提供不得分</w:t>
            </w:r>
            <w:r>
              <w:rPr>
                <w:rFonts w:hint="eastAsia" w:ascii="宋体" w:hAnsi="宋体" w:cs="宋体"/>
                <w:sz w:val="24"/>
                <w:szCs w:val="24"/>
                <w:highlight w:val="none"/>
                <w:lang w:val="zh-CN" w:eastAsia="zh-CN" w:bidi="ar-SA"/>
              </w:rPr>
              <w:t xml:space="preserve">，</w:t>
            </w:r>
            <w:r>
              <w:rPr>
                <w:rFonts w:hint="eastAsia" w:ascii="宋体" w:hAnsi="宋体" w:eastAsia="宋体" w:cs="宋体"/>
                <w:sz w:val="24"/>
                <w:szCs w:val="24"/>
                <w:highlight w:val="none"/>
                <w:lang w:val="zh-CN" w:eastAsia="zh-CN" w:bidi="ar-SA"/>
              </w:rPr>
              <w:t xml:space="preserve">本项最高得</w:t>
            </w:r>
            <w:r>
              <w:rPr>
                <w:rFonts w:hint="eastAsia" w:ascii="宋体" w:hAnsi="宋体" w:eastAsia="宋体" w:cs="宋体"/>
                <w:sz w:val="24"/>
                <w:szCs w:val="24"/>
                <w:highlight w:val="none"/>
                <w:lang w:val="en-US" w:eastAsia="zh-CN" w:bidi="ar-SA"/>
              </w:rPr>
              <w:t xml:space="preserve">10分。</w:t>
            </w:r>
            <w:r/>
          </w:p>
        </w:tc>
      </w:tr>
      <w:tr>
        <w:trPr>
          <w:cantSplit/>
          <w:jc w:val="center"/>
          <w:trHeight w:val="1116"/>
        </w:trPr>
        <w:tc>
          <w:tcPr>
            <w:tcW w:w="11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47" w:type="dxa"/>
            <w:vAlign w:val="center"/>
            <w:textDirection w:val="lrTb"/>
            <w:noWrap w:val="false"/>
          </w:tcPr>
          <w:p>
            <w:pPr>
              <w:jc w:val="cente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组织机构设置方案（10分）</w:t>
            </w:r>
            <w:r/>
          </w:p>
        </w:tc>
        <w:tc>
          <w:tcPr>
            <w:tcW w:w="6512" w:type="dxa"/>
            <w:vAlign w:val="center"/>
            <w:textDirection w:val="lrTb"/>
            <w:noWrap w:val="false"/>
          </w:tcPr>
          <w:p>
            <w:pPr>
              <w:jc w:val="left"/>
              <w:keepLines w:val="0"/>
              <w:keepNext w:val="0"/>
              <w:pageBreakBefore w:val="0"/>
              <w:spacing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对拟组建的项目服务机构结构形式、项目人员岗位职责任务分工及配备合理性进行评价。</w:t>
            </w:r>
            <w:r/>
          </w:p>
          <w:p>
            <w:pPr>
              <w:jc w:val="left"/>
              <w:keepLines w:val="0"/>
              <w:keepNext w:val="0"/>
              <w:pageBreakBefore w:val="0"/>
              <w:spacing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拟组建的项目服务机构形式合理、结构清晰、项目组人员岗位职责任务明确，人员数量配备合理，能很好地满足项目实施要求，得10分；拟组建的项目服务机构形式比较合理、项目组人员数量配备比较合理，能较好地满足项目实施要求，得7分；拟组建的项目服务机构形式基本合理、项目组人员数量配备基本合理，基本上满足项目实施要求，得5分；拟组建的项目服务机构形式欠合理、项目人员数量配备欠合理，很难满足项目实施要求，得2分。</w:t>
            </w:r>
            <w:r/>
          </w:p>
          <w:p>
            <w:pPr>
              <w:pStyle w:val="848"/>
              <w:keepLines w:val="0"/>
              <w:keepNext w:val="0"/>
              <w:pageBreakBefore w:val="0"/>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 xml:space="preserve">未提供不得分，本项最高得10分。</w:t>
            </w:r>
            <w:r/>
          </w:p>
        </w:tc>
      </w:tr>
    </w:tbl>
    <w:p>
      <w:pPr>
        <w:pStyle w:val="862"/>
        <w:keepLines/>
        <w:keepNext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62"/>
        <w:keepLines/>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注：本项目采用综合评分法，评标结果精确到小数点后两位。</w:t>
      </w:r>
      <w:r/>
    </w:p>
    <w:p>
      <w:pPr>
        <w:numPr>
          <w:ilvl w:val="0"/>
          <w:numId w:val="5"/>
        </w:numPr>
        <w:ind w:left="0" w:firstLine="0"/>
        <w:jc w:val="center"/>
        <w:keepLines/>
        <w:keepNext w:val="0"/>
        <w:pageBreakBefore/>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拟签订的合同文本</w:t>
      </w:r>
      <w:r/>
    </w:p>
    <w:p>
      <w:pPr>
        <w:pStyle w:val="825"/>
        <w:numPr>
          <w:ilvl w:val="0"/>
          <w:numId w:val="0"/>
        </w:numPr>
        <w:ind w:right="0"/>
        <w:rPr>
          <w:rFonts w:hint="eastAsia" w:ascii="宋体" w:hAnsi="宋体" w:eastAsia="宋体" w:cs="宋体"/>
          <w:highlight w:val="none"/>
        </w:rPr>
      </w:pPr>
      <w:r>
        <w:rPr>
          <w:rFonts w:hint="eastAsia" w:ascii="宋体" w:hAnsi="宋体" w:eastAsia="宋体" w:cs="宋体"/>
          <w:highlight w:val="none"/>
        </w:rPr>
      </w:r>
      <w:r/>
    </w:p>
    <w:p>
      <w:pPr>
        <w:jc w:val="center"/>
        <w:keepLines/>
        <w:keepNext w:val="0"/>
        <w:spacing w:line="360" w:lineRule="auto"/>
        <w:rPr>
          <w:rFonts w:hint="eastAsia" w:ascii="宋体" w:hAnsi="宋体" w:eastAsia="宋体" w:cs="宋体"/>
          <w:b w:val="0"/>
          <w:bCs w:val="0"/>
          <w:color w:val="auto"/>
          <w:sz w:val="96"/>
          <w:szCs w:val="96"/>
          <w:highlight w:val="none"/>
        </w:rPr>
      </w:pPr>
      <w:r>
        <w:rPr>
          <w:rFonts w:hint="eastAsia" w:ascii="宋体" w:hAnsi="宋体" w:eastAsia="宋体" w:cs="宋体"/>
          <w:b/>
          <w:color w:val="auto"/>
          <w:sz w:val="24"/>
          <w:szCs w:val="24"/>
          <w:highlight w:val="none"/>
        </w:rPr>
        <w:t xml:space="preserve">（以采购人与</w:t>
      </w:r>
      <w:r>
        <w:rPr>
          <w:rFonts w:hint="eastAsia" w:ascii="宋体" w:hAnsi="宋体" w:eastAsia="宋体" w:cs="宋体"/>
          <w:b/>
          <w:color w:val="auto"/>
          <w:sz w:val="24"/>
          <w:szCs w:val="24"/>
          <w:highlight w:val="none"/>
          <w:lang w:val="en-US" w:eastAsia="zh-CN"/>
        </w:rPr>
        <w:t xml:space="preserve">中标人</w:t>
      </w:r>
      <w:r>
        <w:rPr>
          <w:rFonts w:hint="eastAsia" w:ascii="宋体" w:hAnsi="宋体" w:eastAsia="宋体" w:cs="宋体"/>
          <w:b/>
          <w:color w:val="auto"/>
          <w:sz w:val="24"/>
          <w:szCs w:val="24"/>
          <w:highlight w:val="none"/>
        </w:rPr>
        <w:t xml:space="preserve">最终签订版本为准）</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政</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府</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采</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购</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合</w:t>
      </w:r>
      <w:r/>
    </w:p>
    <w:p>
      <w:pPr>
        <w:jc w:val="center"/>
        <w:keepLines/>
        <w:keepNext w:val="0"/>
        <w:spacing w:before="210" w:after="120" w:line="360" w:lineRule="auto"/>
        <w:rPr>
          <w:rFonts w:hint="eastAsia" w:ascii="宋体" w:hAnsi="宋体" w:eastAsia="宋体" w:cs="宋体"/>
          <w:b w:val="0"/>
          <w:bCs w:val="0"/>
          <w:color w:val="auto"/>
          <w:sz w:val="52"/>
          <w:szCs w:val="5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52"/>
          <w:szCs w:val="52"/>
          <w:highlight w:val="none"/>
        </w:rPr>
        <w:t xml:space="preserve">同</w:t>
      </w:r>
      <w:r/>
    </w:p>
    <w:p>
      <w:pPr>
        <w:pStyle w:val="825"/>
        <w:rPr>
          <w:rFonts w:hint="eastAsia"/>
          <w:highlight w:val="none"/>
        </w:rPr>
      </w:pPr>
      <w:r>
        <w:rPr>
          <w:rFonts w:hint="eastAsia"/>
          <w:highlight w:val="none"/>
        </w:rPr>
      </w:r>
      <w:r/>
    </w:p>
    <w:p>
      <w:pPr>
        <w:keepLines/>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采购人（甲方）：</w:t>
      </w:r>
      <w:r/>
    </w:p>
    <w:p>
      <w:pPr>
        <w:keepLines/>
        <w:keepNext w:val="0"/>
        <w:spacing w:before="210" w:after="12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中标人（乙方）：</w:t>
      </w:r>
      <w:r/>
    </w:p>
    <w:p>
      <w:pPr>
        <w:keepLines/>
        <w:keepNext w:val="0"/>
        <w:spacing w:before="210" w:after="12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合同签订日期：  年  月  日</w:t>
      </w:r>
      <w:r/>
    </w:p>
    <w:p>
      <w:pPr>
        <w:ind w:firstLine="562"/>
        <w:keepLines/>
        <w:keepNext w:val="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2"/>
        <w:keepLines/>
        <w:keepNext w:val="0"/>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62"/>
        <w:ind w:right="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       </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按照《中华人民共和国民法典》、《中华人民共和国政府采购法》以及实施条例等法</w:t>
      </w:r>
      <w:r>
        <w:rPr>
          <w:rFonts w:hint="eastAsia" w:ascii="宋体" w:hAnsi="宋体" w:eastAsia="宋体" w:cs="宋体"/>
          <w:sz w:val="24"/>
          <w:szCs w:val="24"/>
          <w:highlight w:val="none"/>
          <w:lang w:val="en-US" w:eastAsia="zh-CN" w:bidi="ar-SA"/>
        </w:rPr>
        <w:t xml:space="preserve">律、法规的规定，经甲、乙双方充分协商，特订立本合同，以资共同遵守。</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一、合同文件</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下列文件构成本合同的组成部分：</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 合 同</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B. 中标通知书</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 、服务项目概况</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本项目是</w:t>
      </w:r>
      <w:r>
        <w:rPr>
          <w:rFonts w:hint="eastAsia" w:ascii="宋体" w:hAnsi="宋体" w:eastAsia="宋体" w:cs="宋体"/>
          <w:sz w:val="24"/>
          <w:szCs w:val="24"/>
          <w:highlight w:val="none"/>
          <w:u w:val="single"/>
          <w:lang w:val="en-US" w:eastAsia="zh-CN" w:bidi="ar-SA"/>
        </w:rPr>
        <w:t xml:space="preserve">新沂市2025年度耕地占补平衡项目</w:t>
      </w:r>
      <w:r>
        <w:rPr>
          <w:rFonts w:hint="eastAsia" w:ascii="宋体" w:hAnsi="宋体" w:eastAsia="宋体" w:cs="宋体"/>
          <w:sz w:val="24"/>
          <w:szCs w:val="24"/>
          <w:highlight w:val="none"/>
          <w:lang w:val="en-US" w:eastAsia="zh-CN" w:bidi="ar-SA"/>
        </w:rPr>
        <w:t xml:space="preserve">。本项目实施范围位于新沂市，涉及新沂市草桥镇、高流镇、合沟镇、窑湾镇等6个镇(街道)范围，复垦土地面积</w:t>
      </w:r>
      <w:r>
        <w:rPr>
          <w:rFonts w:hint="eastAsia" w:ascii="宋体" w:hAnsi="宋体" w:eastAsia="宋体" w:cs="宋体"/>
          <w:sz w:val="24"/>
          <w:szCs w:val="24"/>
          <w:highlight w:val="none"/>
          <w:u w:val="single"/>
          <w:lang w:val="en-US" w:eastAsia="zh-CN" w:bidi="ar-SA"/>
        </w:rPr>
        <w:t xml:space="preserve">共2737.6605亩</w:t>
      </w:r>
      <w:r>
        <w:rPr>
          <w:rFonts w:hint="eastAsia" w:ascii="宋体" w:hAnsi="宋体" w:eastAsia="宋体" w:cs="宋体"/>
          <w:sz w:val="24"/>
          <w:szCs w:val="24"/>
          <w:highlight w:val="none"/>
          <w:lang w:val="en-US" w:eastAsia="zh-CN" w:bidi="ar-SA"/>
        </w:rPr>
        <w:t xml:space="preserve">，根据项目总体规划布局，在相关土地征收和附属物拆迁后，即实施土地复垦工程，对征收和拆迁以后的土地进行田面平整、表层熟土覆盖、新增耕地翻耕改良、地力培肥以及生产道路、灌溉和排水建设等。</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三、合同总价</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合同金额：</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万元</w:t>
      </w:r>
      <w:r>
        <w:rPr>
          <w:rFonts w:hint="eastAsia" w:ascii="宋体" w:hAnsi="宋体" w:eastAsia="宋体" w:cs="宋体"/>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(小写金额：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四、时间要求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服务年限：3年</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五、付款方式</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1、本合同生效后，甲方应根据相关支付计划向乙方支付购买服务费用。</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2、本合同项下资金支付初步安排如下：</w:t>
      </w:r>
      <w:r/>
    </w:p>
    <w:tbl>
      <w:tblPr>
        <w:tblStyle w:val="11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1"/>
        <w:gridCol w:w="1887"/>
        <w:gridCol w:w="2804"/>
      </w:tblGrid>
      <w:tr>
        <w:trPr>
          <w:jc w:val="center"/>
          <w:trHeight w:val="651"/>
        </w:trPr>
        <w:tc>
          <w:tcPr>
            <w:tcBorders>
              <w:bottom w:val="single" w:color="auto" w:sz="4" w:space="0"/>
            </w:tcBorders>
            <w:tcW w:w="2481" w:type="dxa"/>
            <w:vAlign w:val="top"/>
            <w:textDirection w:val="lrTb"/>
            <w:noWrap w:val="false"/>
          </w:tcPr>
          <w:p>
            <w:pPr>
              <w:ind w:left="1015"/>
              <w:keepLines w:val="0"/>
              <w:keepNext w:val="0"/>
              <w:pageBreakBefore w:val="0"/>
              <w:spacing w:before="224"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期间</w:t>
            </w:r>
            <w:r/>
          </w:p>
        </w:tc>
        <w:tc>
          <w:tcPr>
            <w:tcW w:w="1887" w:type="dxa"/>
            <w:vAlign w:val="top"/>
            <w:textDirection w:val="lrTb"/>
            <w:noWrap w:val="false"/>
          </w:tcPr>
          <w:p>
            <w:pPr>
              <w:ind w:left="724"/>
              <w:keepLines w:val="0"/>
              <w:keepNext w:val="0"/>
              <w:pageBreakBefore w:val="0"/>
              <w:spacing w:before="223"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年度</w:t>
            </w:r>
            <w:r/>
          </w:p>
        </w:tc>
        <w:tc>
          <w:tcPr>
            <w:tcW w:w="2804" w:type="dxa"/>
            <w:vAlign w:val="top"/>
            <w:textDirection w:val="lrTb"/>
            <w:noWrap w:val="false"/>
          </w:tcPr>
          <w:p>
            <w:pPr>
              <w:ind w:left="637"/>
              <w:keepLines w:val="0"/>
              <w:keepNext w:val="0"/>
              <w:pageBreakBefore w:val="0"/>
              <w:spacing w:before="223"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金额(万元)</w:t>
            </w:r>
            <w:r/>
          </w:p>
        </w:tc>
      </w:tr>
      <w:tr>
        <w:trPr>
          <w:jc w:val="center"/>
          <w:trHeight w:val="487"/>
        </w:trPr>
        <w:tc>
          <w:tcPr>
            <w:tcBorders>
              <w:top w:val="single" w:color="auto" w:sz="4" w:space="0"/>
              <w:left w:val="single" w:color="auto" w:sz="4" w:space="0"/>
              <w:bottom w:val="none" w:color="000000" w:sz="4" w:space="0"/>
              <w:right w:val="single" w:color="auto" w:sz="4" w:space="0"/>
            </w:tcBorders>
            <w:tcW w:w="2481" w:type="dxa"/>
            <w:vAlign w:val="top"/>
            <w:vMerge w:val="restart"/>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125"/>
              <w:jc w:val="center"/>
              <w:keepLines w:val="0"/>
              <w:keepNext w:val="0"/>
              <w:pageBreakBefore w:val="0"/>
              <w:spacing w:before="68"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采购期限</w:t>
            </w:r>
            <w:r/>
          </w:p>
        </w:tc>
        <w:tc>
          <w:tcPr>
            <w:tcBorders>
              <w:left w:val="single" w:color="auto" w:sz="4" w:space="0"/>
            </w:tcBorders>
            <w:tcW w:w="1887" w:type="dxa"/>
            <w:vAlign w:val="top"/>
            <w:textDirection w:val="lrTb"/>
            <w:noWrap w:val="false"/>
          </w:tcPr>
          <w:p>
            <w:pPr>
              <w:ind w:left="624"/>
              <w:keepLines w:val="0"/>
              <w:keepNext w:val="0"/>
              <w:pageBreakBefore w:val="0"/>
              <w:spacing w:before="142"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第一年</w:t>
            </w:r>
            <w:r/>
          </w:p>
        </w:tc>
        <w:tc>
          <w:tcPr>
            <w:tcW w:w="2804" w:type="dxa"/>
            <w:vAlign w:val="top"/>
            <w:textDirection w:val="lrTb"/>
            <w:noWrap w:val="false"/>
          </w:tcPr>
          <w:p>
            <w:pPr>
              <w:ind w:left="897"/>
              <w:jc w:val="both"/>
              <w:keepLines w:val="0"/>
              <w:keepNext w:val="0"/>
              <w:pageBreakBefore w:val="0"/>
              <w:spacing w:before="195"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481"/>
        </w:trPr>
        <w:tc>
          <w:tcPr>
            <w:tcBorders>
              <w:top w:val="none" w:color="000000" w:sz="4" w:space="0"/>
              <w:left w:val="single" w:color="auto" w:sz="4" w:space="0"/>
              <w:bottom w:val="none" w:color="000000" w:sz="4" w:space="0"/>
              <w:right w:val="single" w:color="auto" w:sz="4" w:space="0"/>
            </w:tcBorders>
            <w:tcW w:w="2481" w:type="dxa"/>
            <w:vAlign w:val="top"/>
            <w:vMerge w:val="continue"/>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left w:val="single" w:color="auto" w:sz="4" w:space="0"/>
            </w:tcBorders>
            <w:tcW w:w="1887" w:type="dxa"/>
            <w:vAlign w:val="top"/>
            <w:textDirection w:val="lrTb"/>
            <w:noWrap w:val="false"/>
          </w:tcPr>
          <w:p>
            <w:pPr>
              <w:ind w:left="624"/>
              <w:keepLines w:val="0"/>
              <w:keepNext w:val="0"/>
              <w:pageBreakBefore w:val="0"/>
              <w:spacing w:before="145"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第二年</w:t>
            </w:r>
            <w:r/>
          </w:p>
        </w:tc>
        <w:tc>
          <w:tcPr>
            <w:tcW w:w="2804" w:type="dxa"/>
            <w:vAlign w:val="top"/>
            <w:textDirection w:val="lrTb"/>
            <w:noWrap w:val="false"/>
          </w:tcPr>
          <w:p>
            <w:pPr>
              <w:ind w:left="897"/>
              <w:jc w:val="both"/>
              <w:keepLines w:val="0"/>
              <w:keepNext w:val="0"/>
              <w:pageBreakBefore w:val="0"/>
              <w:spacing w:before="199" w:line="360" w:lineRule="auto"/>
              <w:tabs>
                <w:tab w:val="left" w:pos="84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481"/>
        </w:trPr>
        <w:tc>
          <w:tcPr>
            <w:tcBorders>
              <w:top w:val="none" w:color="000000" w:sz="4" w:space="0"/>
              <w:left w:val="single" w:color="auto" w:sz="4" w:space="0"/>
              <w:bottom w:val="single" w:color="auto" w:sz="4" w:space="0"/>
              <w:right w:val="single" w:color="auto" w:sz="4" w:space="0"/>
            </w:tcBorders>
            <w:tcW w:w="2481" w:type="dxa"/>
            <w:vAlign w:val="top"/>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left w:val="single" w:color="auto" w:sz="4" w:space="0"/>
            </w:tcBorders>
            <w:tcW w:w="1887" w:type="dxa"/>
            <w:vAlign w:val="top"/>
            <w:textDirection w:val="lrTb"/>
            <w:noWrap w:val="false"/>
          </w:tcPr>
          <w:p>
            <w:pPr>
              <w:ind w:left="624"/>
              <w:keepLines w:val="0"/>
              <w:keepNext w:val="0"/>
              <w:pageBreakBefore w:val="0"/>
              <w:spacing w:before="145"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第三年</w:t>
            </w:r>
            <w:r/>
          </w:p>
        </w:tc>
        <w:tc>
          <w:tcPr>
            <w:tcW w:w="2804" w:type="dxa"/>
            <w:vAlign w:val="top"/>
            <w:textDirection w:val="lrTb"/>
            <w:noWrap w:val="false"/>
          </w:tcPr>
          <w:p>
            <w:pPr>
              <w:ind w:left="897"/>
              <w:jc w:val="both"/>
              <w:keepLines w:val="0"/>
              <w:keepNext w:val="0"/>
              <w:pageBreakBefore w:val="0"/>
              <w:spacing w:before="199" w:line="360" w:lineRule="auto"/>
              <w:tabs>
                <w:tab w:val="left" w:pos="84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481"/>
        </w:trPr>
        <w:tc>
          <w:tcPr>
            <w:tcBorders>
              <w:top w:val="single" w:color="auto" w:sz="4" w:space="0"/>
            </w:tcBorders>
            <w:tcW w:w="2481" w:type="dxa"/>
            <w:vAlign w:val="top"/>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w:t>
            </w:r>
            <w:r/>
          </w:p>
        </w:tc>
        <w:tc>
          <w:tcPr>
            <w:tcW w:w="1887" w:type="dxa"/>
            <w:vAlign w:val="top"/>
            <w:textDirection w:val="lrTb"/>
            <w:noWrap w:val="false"/>
          </w:tcPr>
          <w:p>
            <w:pPr>
              <w:ind w:left="624"/>
              <w:keepLines w:val="0"/>
              <w:keepNext w:val="0"/>
              <w:pageBreakBefore w:val="0"/>
              <w:spacing w:before="145"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804" w:type="dxa"/>
            <w:vAlign w:val="top"/>
            <w:textDirection w:val="lrTb"/>
            <w:noWrap w:val="false"/>
          </w:tcPr>
          <w:p>
            <w:pPr>
              <w:ind w:left="897"/>
              <w:jc w:val="both"/>
              <w:keepLines w:val="0"/>
              <w:keepNext w:val="0"/>
              <w:pageBreakBefore w:val="0"/>
              <w:spacing w:before="199" w:line="360" w:lineRule="auto"/>
              <w:tabs>
                <w:tab w:val="left" w:pos="845"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 甲乙双方确认本合同总价款及支付方式是基于对项目各方面要求综合考察的结果，如果本合同中任何一方或双方认为合同价款及支付标准，进度需要作出调整时，由甲乙双方协商而定。</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4.费用结算。根据项目年度竣工验收情况，统一结算。</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六、双方权利及义务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(1)甲方的责任及义务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 甲方不得要求乙方违反国家有关标准进行违规工作。</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b.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c.甲方应及时按合同准备资金，按时进行项目验收。</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(2)乙方责任及义务：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a.乙方应自己负责实施合同期间其工作人员的食宿、通讯、差旅、交通水 电、资料收集等产生的一切费用以及工作使用的计算机等相关软硬件设备。</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b.乙方应按合同约定的技术规范、标准、规程及甲方提出的技术要求进行 作业，按合同规定的进度要求提交质量合格的项目资料，并对其负责。</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c. 乙方按合同要求及时向甲方交付资料及文件。</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d.乙方按合同规定工期交付资料及文件，负责向甲方进行资料文档的解释、 处理因技术规程变化可能引起的有关问题。</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e.本项目所产生的原始数据、中间数据、成果数据产权，及与该项目相关 的图纸和技术资料均甲方独享。乙方未经甲方书面允许，不得对第三方提供项目中的任何数据资料，如发生以上情况并给甲方造成经济损失，甲方有权向乙方索赔。</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f.该合同所涉及的技术资料以及测绘成果的所有权、使用权和著作权归甲方所有。</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g.项目技术设计论证、项目评审和质检费用由乙方承担。</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七、违约责任：</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(1)乙方不能提交成果(逾期超过十五天视为不能提交),或提交不合格 从而影响甲方按期正常使用的，应向甲方偿付合同总价款5%的违约金，违约金不足以补偿损失的甲方有权要求乙方补足。</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(2)乙方逾期提交成果，应在提交前与甲方协商，甲方仍需求的，乙方应 立即提交并应按照逾期提交部分的合同金额的每天万分之五支付逾期交货违约金，同时承担甲方因此遭致的损失费用。</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(3)对于乙方擅自将项目分包、转包给其他单位，或雇佣非本单位自有人 员进行作业(以是否缴纳社会保险作为判定条件)的，甲方可责成乙方立即纠正，并赔付甲方合同总价款10%的违约金；甲方发现此类行为两次以上的，可以终止合同，由乙方承担由此引起的损失。</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八、权利保证及保密</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(1)在本合同生效日前已存在的版权及其他知识产权应属于本合同生效前 既拥有该等权利的一方。</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(2)成果归属清晰原则：全部及/或任何部分的相关知识产权，包括相关权益，均归甲方所有。乙方有不可争议的义务确保甲方依据本次采购所获得的知 识产权不存在任何瑕疵并且可以不受限制地行使相关权利，包括各项延伸权利。若因此发生任何争议均应当由乙方独自承担全部及/或任何责任。</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(3)保护知识产权原则：乙方应当保证其有关参与本项目相关的活动、项 目结束之后的任何涉及到本次采购的行为，均不会侵犯任何第三方的知识产权。若因此发生任何争议、侵权，均应当由乙方独自承担全部及/或任何责任。</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(4)甲方将拥有其在本合同项下所从事的所有工作(包括各类纸质文档， 电子文档及其他可交付物)中所包含的或与之相关的全部版权、专利、商业秘密、商标和其他知识产权以及所有权和其他权益。</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甲、乙双方必须对项目涉及的数据严格保密。在中标后双方严格遵照保密管理规定，签订保密协议，严禁将本项目所涉及相关技术资料、成果、商务文件等信息私自提供给其他人员或单位，否则，将追究相关人员的法律责任。</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九、不可抗力</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(1)因不可抗力不能履行合同的，根据不可抗力的影响，部分或者全部免 除责任。但合同一方延迟履行后发生不可抗力的，不能免除责任。</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十、索 赔</w:t>
      </w:r>
      <w:r>
        <w:rPr>
          <w:rFonts w:hint="eastAsia" w:ascii="宋体" w:hAnsi="宋体" w:eastAsia="宋体" w:cs="宋体"/>
          <w:sz w:val="24"/>
          <w:szCs w:val="24"/>
          <w:highlight w:val="none"/>
          <w:lang w:val="en-US" w:eastAsia="zh-CN" w:bidi="ar-SA"/>
        </w:rPr>
        <w:t xml:space="preserve"> </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(1)甲方有权根据权威机构部门出具的检验证书向乙方提出索赔。</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(2)如果在甲方发出索赔通知后七天内，乙方未能答复，上述索赔应视为 已被乙方接受。若乙方未在甲方提出索赔通知后七天内或甲方同意的更长时间内，按照合同规定的任何一种方法解决索赔事宜，甲方将从未付款或乙方的履约 保证金中扣回索赔金额，如果这些金额不足以补偿索赔金额，甲方有权向乙方提出对不足部分的补偿。</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十一、其他</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本合同执行过程中的未尽事宜，双方应本着实事求是、友好协商的态度加以解决。双方协商一致的，签订补充协议。补充协议与本合同具有同等效力。</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十二、争 议</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因本合同发生争议，由双方当事人协商解决或由双方主管部门调解，协商 或调解不成的，可向甲方所在地人民法院起诉。</w:t>
      </w:r>
      <w:r/>
    </w:p>
    <w:p>
      <w:pPr>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十三、附 则</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(1)本合同由双方代表签字，加盖双方公章或合同专用章即生效。全部成 果交接完毕且测绘服务费结算完成时，本合同终止。</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(2)本合同壹式贰份，甲方壹份、乙方壹份。</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(3)本合同其他未尽事宜及与采购文件有矛盾之处，以招标文件[采购编号：]为准。</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    方：(盖章)                  乙   方：(盖章)</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    话 ：                       电   话：</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开户行：                          开户行：</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银行帐号：                        银行帐号：</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委托代理人(签字)                  委托代理人(签字)</w:t>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年    月   日                     年   月   日</w:t>
      </w:r>
      <w:r/>
    </w:p>
    <w:p>
      <w:pPr>
        <w:pStyle w:val="846"/>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46"/>
        <w:jc w:val="center"/>
        <w:keepNext w:val="0"/>
        <w:pageBreakBefore/>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color w:val="auto"/>
          <w:sz w:val="32"/>
          <w:szCs w:val="32"/>
          <w:highlight w:val="none"/>
        </w:rPr>
        <w:t xml:space="preserve">第六章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采购需求</w:t>
      </w:r>
      <w:r/>
    </w:p>
    <w:p>
      <w:pPr>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一、本项目不接受超</w:t>
      </w:r>
      <w:r>
        <w:rPr>
          <w:rFonts w:hint="eastAsia" w:ascii="宋体" w:hAnsi="宋体" w:eastAsia="宋体" w:cs="宋体"/>
          <w:b/>
          <w:color w:val="auto"/>
          <w:sz w:val="24"/>
          <w:szCs w:val="24"/>
          <w:highlight w:val="none"/>
          <w:lang w:val="en-US" w:eastAsia="zh-CN" w:bidi="ar-SA"/>
        </w:rPr>
        <w:t xml:space="preserve">过41070万元</w:t>
      </w:r>
      <w:r>
        <w:rPr>
          <w:rFonts w:hint="eastAsia" w:ascii="宋体" w:hAnsi="宋体" w:eastAsia="宋体" w:cs="宋体"/>
          <w:b/>
          <w:bCs/>
          <w:sz w:val="24"/>
          <w:szCs w:val="24"/>
          <w:highlight w:val="none"/>
          <w:lang w:val="en-US" w:eastAsia="zh-CN" w:bidi="ar-SA"/>
        </w:rPr>
        <w:t xml:space="preserve">（采购项目预算金额）的报价</w:t>
      </w:r>
      <w:r>
        <w:rPr>
          <w:rFonts w:hint="eastAsia" w:ascii="宋体" w:hAnsi="宋体" w:eastAsia="宋体" w:cs="宋体"/>
          <w:b/>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报价包括但不限于完成本项目所需人工、材料、机械、措施费、规费、税金、服务、组织协调、垃圾清运、供应商的利润、防疫等全部费用。采购人不再支付报价以外的任何费用。</w:t>
      </w:r>
      <w:r/>
    </w:p>
    <w:p>
      <w:pPr>
        <w:jc w:val="both"/>
        <w:keepLines w:val="0"/>
        <w:keepNext w:val="0"/>
        <w:pageBreakBefore w:val="0"/>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项目说明</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1、采购人：新沂市土地整理中心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2、项目背景</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近年来，我市积极开展城乡耕地占补平衡工作，稳妥有序推进农村集体建设用地复垦，在保护耕地、优化布局、统筹城乡发展、促进节约集约用地等方面取得明显成效。开展耕地占补平衡工作，在坚持以人民为中心，充分尊重群众意愿，切实保障相关权益人合法权益的前提下，可以有效改善农村生产生活和生态条件。</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充分利用土地整治政策，从人民群众的根本利益出发，立足当地实际，踏踏实实为农民办实事、做好事，改善农业生产条件，增加耕地面积，提高人民群众生活水平。</w:t>
      </w:r>
      <w:r/>
    </w:p>
    <w:p>
      <w:pPr>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三、项目内容及要求：</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1、项目名称：新沂市2025年度耕地占补平衡项目。</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2、项目地点：本项目实施范围位于新沂市，涉及新沂市草桥镇、高流镇、合沟镇、窑湾镇等6个</w:t>
      </w:r>
      <w:r>
        <w:rPr>
          <w:rFonts w:hint="eastAsia" w:ascii="宋体" w:hAnsi="宋体" w:eastAsia="宋体" w:cs="宋体"/>
          <w:sz w:val="24"/>
          <w:szCs w:val="24"/>
          <w:highlight w:val="none"/>
        </w:rPr>
        <w:t xml:space="preserve">镇(街道)范围</w:t>
      </w:r>
      <w:r>
        <w:rPr>
          <w:rFonts w:hint="eastAsia" w:ascii="宋体" w:hAnsi="宋体" w:eastAsia="宋体" w:cs="宋体"/>
          <w:bCs/>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3、服务期限：三年 。</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4、项目实施规模：项目建设规模约182.5107公顷（折合2737.6605亩）。</w:t>
      </w:r>
      <w:r/>
    </w:p>
    <w:p>
      <w:pPr>
        <w:ind w:firstLine="480"/>
        <w:jc w:val="left"/>
        <w:keepLines w:val="0"/>
        <w:keepNext w:val="0"/>
        <w:pageBreakBefore w:val="0"/>
        <w:spacing w:line="360" w:lineRule="auto"/>
        <w:widowControl/>
        <w:rPr>
          <w:rFonts w:hint="default" w:ascii="宋体" w:hAnsi="宋体" w:eastAsia="宋体" w:cs="宋体"/>
          <w:bCs/>
          <w:sz w:val="24"/>
          <w:szCs w:val="24"/>
          <w:highlight w:val="none"/>
          <w:lang w:val="en-US" w:eastAsia="zh-CN" w:bidi="ar-SA"/>
        </w:rPr>
        <w:suppressLineNumbers w:val="0"/>
      </w:pPr>
      <w:r>
        <w:rPr>
          <w:rFonts w:hint="eastAsia" w:ascii="宋体" w:hAnsi="宋体" w:cs="宋体"/>
          <w:bCs/>
          <w:sz w:val="24"/>
          <w:szCs w:val="24"/>
          <w:highlight w:val="none"/>
          <w:lang w:val="en-US" w:eastAsia="zh-CN" w:bidi="ar-SA"/>
        </w:rPr>
        <w:t xml:space="preserve">5.项目主要服务内容：</w:t>
      </w:r>
      <w:r>
        <w:rPr>
          <w:rFonts w:hint="eastAsia" w:ascii="宋体" w:hAnsi="宋体" w:eastAsia="宋体" w:cs="宋体"/>
          <w:sz w:val="24"/>
          <w:szCs w:val="24"/>
          <w:highlight w:val="none"/>
          <w:u w:val="none"/>
          <w:lang w:val="en-US" w:eastAsia="zh-CN" w:bidi="ar-SA"/>
        </w:rPr>
        <w:t xml:space="preserve">本项目是新沂市2025年度耕地占补平衡项目。本项目实施范围位于新沂市，涉及新沂市草桥镇、高流镇、合沟镇、窑湾镇等6个镇(街道)范围，复垦土地面积共2737.6605亩，根据项目总体规划布局，在相关土地征收和附属物拆迁后，即实施土地复垦工程，对征收和拆迁以后的土地进行田面平整、表层熟土覆盖、新增耕地翻耕改良、地力培肥以及生产道路、灌溉和排水建设等。</w:t>
      </w:r>
      <w:r/>
    </w:p>
    <w:p>
      <w:pPr>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四、项目实施要求：</w:t>
      </w:r>
      <w:r/>
    </w:p>
    <w:p>
      <w:pPr>
        <w:ind w:firstLine="482"/>
        <w:jc w:val="both"/>
        <w:spacing w:before="0" w:beforeAutospacing="0" w:after="0" w:afterAutospacing="0" w:line="336" w:lineRule="auto"/>
        <w:widowControl w:val="off"/>
        <w:rPr>
          <w:rFonts w:hint="default"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1、</w:t>
      </w:r>
      <w:r>
        <w:rPr>
          <w:rFonts w:hint="default" w:ascii="宋体" w:hAnsi="宋体" w:eastAsia="宋体" w:cs="宋体"/>
          <w:color w:val="auto"/>
          <w:sz w:val="24"/>
          <w:szCs w:val="20"/>
          <w:highlight w:val="none"/>
          <w:lang w:eastAsia="zh-CN"/>
        </w:rPr>
        <w:t xml:space="preserve">通过</w:t>
      </w:r>
      <w:r>
        <w:rPr>
          <w:rFonts w:hint="eastAsia" w:ascii="宋体" w:hAnsi="宋体" w:eastAsia="宋体" w:cs="宋体"/>
          <w:color w:val="auto"/>
          <w:sz w:val="24"/>
          <w:szCs w:val="20"/>
          <w:highlight w:val="none"/>
          <w:lang w:eastAsia="zh-CN"/>
        </w:rPr>
        <w:t xml:space="preserve">开展</w:t>
      </w:r>
      <w:r>
        <w:rPr>
          <w:rFonts w:hint="eastAsia" w:ascii="宋体" w:hAnsi="宋体" w:eastAsia="宋体" w:cs="宋体"/>
          <w:color w:val="auto"/>
          <w:sz w:val="24"/>
          <w:szCs w:val="20"/>
          <w:highlight w:val="none"/>
          <w:lang w:val="en-US" w:eastAsia="zh-CN"/>
        </w:rPr>
        <w:t xml:space="preserve">占补平衡</w:t>
      </w:r>
      <w:r>
        <w:rPr>
          <w:rFonts w:hint="eastAsia" w:ascii="宋体" w:hAnsi="宋体" w:eastAsia="宋体" w:cs="宋体"/>
          <w:color w:val="auto"/>
          <w:sz w:val="24"/>
          <w:szCs w:val="20"/>
          <w:highlight w:val="none"/>
          <w:lang w:eastAsia="zh-CN"/>
        </w:rPr>
        <w:t xml:space="preserve">项目</w:t>
      </w:r>
      <w:r>
        <w:rPr>
          <w:rFonts w:hint="default" w:ascii="宋体" w:hAnsi="宋体" w:eastAsia="宋体" w:cs="宋体"/>
          <w:color w:val="auto"/>
          <w:sz w:val="24"/>
          <w:szCs w:val="20"/>
          <w:highlight w:val="none"/>
          <w:lang w:eastAsia="zh-CN"/>
        </w:rPr>
        <w:t xml:space="preserve">，为保证做到合理利用能源和节约能源，必须在本项目</w:t>
      </w:r>
      <w:r>
        <w:rPr>
          <w:rFonts w:hint="eastAsia" w:ascii="宋体" w:hAnsi="宋体" w:eastAsia="宋体" w:cs="宋体"/>
          <w:color w:val="auto"/>
          <w:sz w:val="24"/>
          <w:szCs w:val="20"/>
          <w:highlight w:val="none"/>
          <w:lang w:val="en-US" w:eastAsia="zh-CN"/>
        </w:rPr>
        <w:t xml:space="preserve">实施</w:t>
      </w:r>
      <w:r>
        <w:rPr>
          <w:rFonts w:hint="default" w:ascii="宋体" w:hAnsi="宋体" w:eastAsia="宋体" w:cs="宋体"/>
          <w:color w:val="auto"/>
          <w:sz w:val="24"/>
          <w:szCs w:val="20"/>
          <w:highlight w:val="none"/>
          <w:lang w:eastAsia="zh-CN"/>
        </w:rPr>
        <w:t xml:space="preserve">过程中按国家《土地</w:t>
      </w:r>
      <w:r>
        <w:rPr>
          <w:rFonts w:hint="eastAsia" w:ascii="宋体" w:hAnsi="宋体" w:eastAsia="宋体" w:cs="宋体"/>
          <w:color w:val="auto"/>
          <w:sz w:val="24"/>
          <w:szCs w:val="20"/>
          <w:highlight w:val="none"/>
          <w:lang w:eastAsia="zh-CN"/>
        </w:rPr>
        <w:t xml:space="preserve">整治</w:t>
      </w:r>
      <w:r>
        <w:rPr>
          <w:rFonts w:hint="default" w:ascii="宋体" w:hAnsi="宋体" w:eastAsia="宋体" w:cs="宋体"/>
          <w:color w:val="auto"/>
          <w:sz w:val="24"/>
          <w:szCs w:val="20"/>
          <w:highlight w:val="none"/>
          <w:lang w:eastAsia="zh-CN"/>
        </w:rPr>
        <w:t xml:space="preserve">项目规划设计规范》（TD/T1012-2016）和《建筑设计防火规范》（GB 50016-2006）、《中国节能技术政策大纲》等相关规范进行</w:t>
      </w:r>
      <w:r>
        <w:rPr>
          <w:rFonts w:hint="eastAsia" w:ascii="宋体" w:hAnsi="宋体" w:eastAsia="宋体" w:cs="宋体"/>
          <w:color w:val="auto"/>
          <w:sz w:val="24"/>
          <w:szCs w:val="20"/>
          <w:highlight w:val="none"/>
          <w:lang w:eastAsia="zh-CN"/>
        </w:rPr>
        <w:t xml:space="preserve">执行。</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trike w:val="0"/>
          <w:color w:val="auto"/>
          <w:sz w:val="24"/>
          <w:szCs w:val="20"/>
          <w:highlight w:val="none"/>
          <w:lang w:eastAsia="zh-CN"/>
        </w:rPr>
      </w:pPr>
      <w:r>
        <w:rPr>
          <w:rFonts w:hint="eastAsia" w:ascii="宋体" w:hAnsi="宋体" w:eastAsia="宋体" w:cs="宋体"/>
          <w:bCs/>
          <w:strike w:val="0"/>
          <w:color w:val="auto"/>
          <w:sz w:val="24"/>
          <w:szCs w:val="20"/>
          <w:highlight w:val="none"/>
          <w:lang w:eastAsia="zh-CN"/>
        </w:rPr>
        <w:t xml:space="preserve">2、环</w:t>
      </w:r>
      <w:r>
        <w:rPr>
          <w:rFonts w:hint="eastAsia" w:ascii="宋体" w:hAnsi="宋体" w:eastAsia="宋体" w:cs="宋体"/>
          <w:strike w:val="0"/>
          <w:color w:val="auto"/>
          <w:sz w:val="24"/>
          <w:szCs w:val="20"/>
          <w:highlight w:val="none"/>
          <w:lang w:eastAsia="zh-CN"/>
        </w:rPr>
        <w:t xml:space="preserve">境保护</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0"/>
          <w:highlight w:val="none"/>
          <w:lang w:eastAsia="zh-CN"/>
        </w:rPr>
      </w:pPr>
      <w:r>
        <w:rPr>
          <w:rFonts w:hint="eastAsia" w:ascii="宋体" w:hAnsi="宋体" w:eastAsia="宋体" w:cs="宋体"/>
          <w:bCs/>
          <w:color w:val="auto"/>
          <w:sz w:val="24"/>
          <w:szCs w:val="20"/>
          <w:highlight w:val="none"/>
          <w:lang w:eastAsia="zh-CN"/>
        </w:rPr>
        <w:t xml:space="preserve">2.1加强</w:t>
      </w:r>
      <w:r>
        <w:rPr>
          <w:rFonts w:hint="eastAsia" w:ascii="宋体" w:hAnsi="宋体" w:eastAsia="宋体" w:cs="宋体"/>
          <w:bCs/>
          <w:color w:val="auto"/>
          <w:sz w:val="24"/>
          <w:szCs w:val="20"/>
          <w:highlight w:val="none"/>
          <w:lang w:val="en-US" w:eastAsia="zh-CN"/>
        </w:rPr>
        <w:t xml:space="preserve">复垦实施</w:t>
      </w:r>
      <w:r>
        <w:rPr>
          <w:rFonts w:hint="eastAsia" w:ascii="宋体" w:hAnsi="宋体" w:eastAsia="宋体" w:cs="宋体"/>
          <w:bCs/>
          <w:color w:val="auto"/>
          <w:sz w:val="24"/>
          <w:szCs w:val="20"/>
          <w:highlight w:val="none"/>
          <w:lang w:eastAsia="zh-CN"/>
        </w:rPr>
        <w:t xml:space="preserve">期管理，严格按照有关标准执行环保措施，不得产生环境污染。实施期内</w:t>
      </w:r>
      <w:r>
        <w:rPr>
          <w:rFonts w:hint="eastAsia" w:ascii="宋体" w:hAnsi="宋体" w:eastAsia="宋体" w:cs="宋体"/>
          <w:bCs/>
          <w:color w:val="auto"/>
          <w:sz w:val="24"/>
          <w:szCs w:val="20"/>
          <w:highlight w:val="none"/>
          <w:lang w:val="en-US" w:eastAsia="zh-CN"/>
        </w:rPr>
        <w:t xml:space="preserve">整治</w:t>
      </w:r>
      <w:r>
        <w:rPr>
          <w:rFonts w:hint="eastAsia" w:ascii="宋体" w:hAnsi="宋体" w:eastAsia="宋体" w:cs="宋体"/>
          <w:bCs/>
          <w:color w:val="auto"/>
          <w:sz w:val="24"/>
          <w:szCs w:val="20"/>
          <w:highlight w:val="none"/>
          <w:lang w:eastAsia="zh-CN"/>
        </w:rPr>
        <w:t xml:space="preserve">拆除、场地清理等符合</w:t>
      </w:r>
      <w:r>
        <w:rPr>
          <w:rFonts w:hint="eastAsia" w:ascii="宋体" w:hAnsi="宋体" w:eastAsia="宋体" w:cs="宋体"/>
          <w:color w:val="auto"/>
          <w:sz w:val="24"/>
          <w:szCs w:val="20"/>
          <w:highlight w:val="none"/>
          <w:lang w:eastAsia="zh-CN"/>
        </w:rPr>
        <w:t xml:space="preserve">《中华人民共和国环境保护法》、《环境空气质量标准》等有关法律法规，在项目实施过程中对排除的污染物应采取必要的措施，使之达到国家规定的标准。</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2.2复垦实施过程中产生的垃圾等，采取相应的处理措施，符合</w:t>
      </w:r>
      <w:r>
        <w:rPr>
          <w:rFonts w:hint="eastAsia" w:ascii="宋体" w:hAnsi="宋体" w:cs="宋体"/>
          <w:color w:val="auto"/>
          <w:sz w:val="24"/>
          <w:szCs w:val="20"/>
          <w:highlight w:val="none"/>
          <w:lang w:val="en-US" w:eastAsia="zh-CN"/>
        </w:rPr>
        <w:t xml:space="preserve">徐州市城市相关管理办法</w:t>
      </w:r>
      <w:r>
        <w:rPr>
          <w:rFonts w:hint="eastAsia" w:ascii="宋体" w:hAnsi="宋体" w:eastAsia="宋体" w:cs="宋体"/>
          <w:color w:val="auto"/>
          <w:sz w:val="24"/>
          <w:szCs w:val="20"/>
          <w:highlight w:val="none"/>
          <w:lang w:eastAsia="zh-CN"/>
        </w:rPr>
        <w:t xml:space="preserve">和环卫部门要求。</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color w:val="auto"/>
          <w:sz w:val="24"/>
          <w:szCs w:val="20"/>
          <w:highlight w:val="none"/>
          <w:lang w:eastAsia="zh-CN"/>
        </w:rPr>
        <w:t xml:space="preserve">2.3落实绿化指标，保护、管理好项目内各种植物，减少对周围生态环境影响。加强</w:t>
      </w:r>
      <w:r>
        <w:rPr>
          <w:rFonts w:hint="eastAsia" w:ascii="宋体" w:hAnsi="宋体" w:eastAsia="宋体" w:cs="宋体"/>
          <w:color w:val="auto"/>
          <w:sz w:val="24"/>
          <w:szCs w:val="20"/>
          <w:highlight w:val="none"/>
          <w:lang w:val="en-US" w:eastAsia="zh-CN"/>
        </w:rPr>
        <w:t xml:space="preserve">复垦</w:t>
      </w:r>
      <w:r>
        <w:rPr>
          <w:rFonts w:hint="eastAsia" w:ascii="宋体" w:hAnsi="宋体" w:eastAsia="宋体" w:cs="宋体"/>
          <w:color w:val="auto"/>
          <w:sz w:val="24"/>
          <w:szCs w:val="20"/>
          <w:highlight w:val="none"/>
          <w:lang w:eastAsia="zh-CN"/>
        </w:rPr>
        <w:t xml:space="preserve">期及运营期的管理，严格按照有关标准执行环保措施，项目</w:t>
      </w:r>
      <w:r>
        <w:rPr>
          <w:rFonts w:hint="eastAsia" w:ascii="宋体" w:hAnsi="宋体" w:cs="宋体"/>
          <w:color w:val="auto"/>
          <w:sz w:val="24"/>
          <w:szCs w:val="20"/>
          <w:highlight w:val="none"/>
          <w:lang w:val="en-US" w:eastAsia="zh-CN"/>
        </w:rPr>
        <w:t xml:space="preserve">完成</w:t>
      </w:r>
      <w:r>
        <w:rPr>
          <w:rFonts w:hint="eastAsia" w:ascii="宋体" w:hAnsi="宋体" w:eastAsia="宋体" w:cs="宋体"/>
          <w:color w:val="auto"/>
          <w:sz w:val="24"/>
          <w:szCs w:val="20"/>
          <w:highlight w:val="none"/>
          <w:lang w:eastAsia="zh-CN"/>
        </w:rPr>
        <w:t xml:space="preserve">后，需分别经当地生态环境部门“三同时”验收合格。</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科学编制实施方案。立足于当地经济社会发展实际。根据各镇上报，做好实施方案编制，进一步引导城乡用地结构调整和布局优化，提升土地节约集约利用水平。</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切实维护群众权益。必须充分尊重群众意愿，依法保障群众的知情权、财产权和受益权。 </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加强复垦实施期管理，严格按照有关标准执行环保措施，不得产生环境污染。实施期内整治拆除、场地清理等符合《中华人民共和国环境保护法》、《环境空气质量标准》等有关法律法规，在项目实施过程中对排除的污染物应采取必要的措施，使之达到国家规定的标准。</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6、</w:t>
      </w:r>
      <w:r>
        <w:rPr>
          <w:rFonts w:hint="eastAsia" w:ascii="宋体" w:hAnsi="宋体" w:eastAsia="宋体" w:cs="宋体"/>
          <w:bCs/>
          <w:sz w:val="24"/>
          <w:szCs w:val="24"/>
          <w:highlight w:val="none"/>
          <w:lang w:val="en-US" w:eastAsia="zh-CN" w:bidi="ar-SA"/>
        </w:rPr>
        <w:t xml:space="preserve">本项目内容繁多，统筹安排，制定详细的总体进度计划，列出进度控制点，同时制定专业项目进度计划，合理安排项目周期，分项实施，加快进度。</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项目涉及土地复垦、供电、通讯等，部门众多，协调工作量巨大，中标项目实施单位自行统筹协调相关部门关系，合理安排服务期确保项目进度不受影响。</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bCs/>
          <w:sz w:val="24"/>
          <w:szCs w:val="24"/>
          <w:highlight w:val="none"/>
          <w:lang w:val="en-US" w:eastAsia="zh-CN" w:bidi="ar-SA"/>
        </w:rPr>
        <w:t xml:space="preserve">8、</w:t>
      </w:r>
      <w:r>
        <w:rPr>
          <w:rFonts w:hint="eastAsia" w:ascii="宋体" w:hAnsi="宋体" w:eastAsia="宋体" w:cs="宋体"/>
          <w:sz w:val="24"/>
          <w:szCs w:val="24"/>
          <w:highlight w:val="none"/>
          <w:lang w:val="en-US" w:eastAsia="zh-CN" w:bidi="ar-SA"/>
        </w:rPr>
        <w:t xml:space="preserve">复垦成果符合江苏省、徐州市相关文件及采购人要求。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eastAsia="zh-CN"/>
        </w:rPr>
        <w:t xml:space="preserve">中标人将就项目为采购人提供从进场到项目交付的全过程管理服务，</w:t>
      </w:r>
      <w:r>
        <w:rPr>
          <w:rFonts w:hint="eastAsia" w:ascii="宋体" w:hAnsi="宋体" w:eastAsia="宋体" w:cs="宋体"/>
          <w:color w:val="auto"/>
          <w:sz w:val="24"/>
          <w:szCs w:val="20"/>
          <w:highlight w:val="none"/>
          <w:lang w:val="en-US" w:eastAsia="zh-CN"/>
        </w:rPr>
        <w:t xml:space="preserve">包含资料收集、</w:t>
      </w:r>
      <w:r>
        <w:rPr>
          <w:rFonts w:hint="eastAsia" w:ascii="宋体" w:hAnsi="宋体" w:eastAsia="宋体" w:cs="宋体"/>
          <w:sz w:val="24"/>
          <w:szCs w:val="24"/>
          <w:highlight w:val="none"/>
          <w:u w:val="none"/>
          <w:lang w:val="en-US" w:eastAsia="zh-CN" w:bidi="ar-SA"/>
        </w:rPr>
        <w:t xml:space="preserve">在相关土地征收和附属物拆迁后，即实施土地复垦工程，对征收和拆迁以后的土地进行田面平整、表层熟土覆盖、新增耕地翻耕改良、地力培肥以及生产道路、灌溉和排水建设</w:t>
      </w:r>
      <w:r>
        <w:rPr>
          <w:rFonts w:hint="eastAsia" w:ascii="宋体" w:hAnsi="宋体" w:eastAsia="宋体" w:cs="宋体"/>
          <w:color w:val="auto"/>
          <w:sz w:val="24"/>
          <w:szCs w:val="20"/>
          <w:highlight w:val="none"/>
          <w:lang w:eastAsia="zh-CN"/>
        </w:rPr>
        <w:t xml:space="preserve">等与项目有关的管理服务，贯穿于项目的全过程。</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rPr>
          <w:rFonts w:hint="eastAsia" w:ascii="宋体" w:hAnsi="宋体" w:eastAsia="宋体" w:cs="宋体"/>
          <w:sz w:val="24"/>
          <w:szCs w:val="24"/>
          <w:highlight w:val="none"/>
          <w:lang w:val="en-US" w:eastAsia="zh-CN" w:bidi="ar-SA"/>
        </w:rPr>
        <w:t xml:space="preserve">报价包含本项目范围内的全部费用。供应商有漏报或不报的，采购人将视为有关费用已包括在本项目的报价中而不予支付。采购人不支付报价以外的任何费用。</w:t>
      </w:r>
      <w:r/>
    </w:p>
    <w:p>
      <w:pPr>
        <w:ind w:firstLine="480"/>
        <w:jc w:val="both"/>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11、</w:t>
      </w:r>
      <w:r>
        <w:rPr>
          <w:rFonts w:hint="eastAsia" w:ascii="宋体" w:hAnsi="宋体" w:eastAsia="宋体" w:cs="宋体"/>
          <w:color w:val="auto"/>
          <w:sz w:val="24"/>
          <w:szCs w:val="20"/>
          <w:highlight w:val="none"/>
          <w:lang w:eastAsia="zh-CN"/>
        </w:rPr>
        <w:t xml:space="preserve">质量</w:t>
      </w:r>
      <w:r>
        <w:rPr>
          <w:rFonts w:hint="eastAsia" w:ascii="宋体" w:hAnsi="宋体" w:eastAsia="宋体" w:cs="宋体"/>
          <w:color w:val="auto"/>
          <w:sz w:val="24"/>
          <w:szCs w:val="20"/>
          <w:highlight w:val="none"/>
          <w:lang w:val="en-US" w:eastAsia="zh-CN"/>
        </w:rPr>
        <w:t xml:space="preserve">和</w:t>
      </w:r>
      <w:r>
        <w:rPr>
          <w:rFonts w:hint="eastAsia" w:ascii="宋体" w:hAnsi="宋体" w:eastAsia="宋体" w:cs="宋体"/>
          <w:color w:val="auto"/>
          <w:sz w:val="24"/>
          <w:szCs w:val="20"/>
          <w:highlight w:val="none"/>
          <w:lang w:eastAsia="zh-CN"/>
        </w:rPr>
        <w:t xml:space="preserve">验收要求：符合国家省市</w:t>
      </w:r>
      <w:r>
        <w:rPr>
          <w:rFonts w:hint="eastAsia" w:ascii="宋体" w:hAnsi="宋体" w:eastAsia="宋体" w:cs="宋体"/>
          <w:color w:val="auto"/>
          <w:sz w:val="24"/>
          <w:szCs w:val="20"/>
          <w:highlight w:val="none"/>
          <w:lang w:val="en-US" w:eastAsia="zh-CN"/>
        </w:rPr>
        <w:t xml:space="preserve">建设用地推出复垦</w:t>
      </w:r>
      <w:r>
        <w:rPr>
          <w:rFonts w:hint="eastAsia" w:ascii="宋体" w:hAnsi="宋体" w:eastAsia="宋体" w:cs="宋体"/>
          <w:color w:val="auto"/>
          <w:sz w:val="24"/>
          <w:szCs w:val="20"/>
          <w:highlight w:val="none"/>
          <w:lang w:eastAsia="zh-CN"/>
        </w:rPr>
        <w:t xml:space="preserve">相关合格验收标准。</w:t>
      </w:r>
      <w:r/>
    </w:p>
    <w:p>
      <w:pPr>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五、时间要求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合同履行期限：签订合同后3年内完成。</w:t>
      </w:r>
      <w:r/>
    </w:p>
    <w:p>
      <w:pPr>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六、付款方式</w:t>
      </w:r>
      <w:r/>
    </w:p>
    <w:p>
      <w:pPr>
        <w:ind w:firstLine="47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1、项目预算额</w:t>
      </w:r>
      <w:r>
        <w:rPr>
          <w:rFonts w:hint="eastAsia" w:ascii="宋体" w:hAnsi="宋体" w:eastAsia="宋体" w:cs="宋体"/>
          <w:bCs/>
          <w:color w:val="auto"/>
          <w:sz w:val="24"/>
          <w:szCs w:val="24"/>
          <w:highlight w:val="none"/>
          <w:lang w:val="en-US" w:eastAsia="zh-CN" w:bidi="ar-SA"/>
        </w:rPr>
        <w:t xml:space="preserve">：41070万元。项目根</w:t>
      </w:r>
      <w:r>
        <w:rPr>
          <w:rFonts w:hint="eastAsia" w:ascii="宋体" w:hAnsi="宋体" w:eastAsia="宋体" w:cs="宋体"/>
          <w:bCs/>
          <w:sz w:val="24"/>
          <w:szCs w:val="24"/>
          <w:highlight w:val="none"/>
          <w:lang w:val="en-US" w:eastAsia="zh-CN" w:bidi="ar-SA"/>
        </w:rPr>
        <w:t xml:space="preserve">据 “谁投资，谁受益”的原则。</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2、支付方式：</w:t>
      </w:r>
      <w:r>
        <w:rPr>
          <w:rFonts w:hint="eastAsia" w:ascii="宋体" w:hAnsi="宋体" w:eastAsia="宋体" w:cs="宋体"/>
          <w:sz w:val="24"/>
          <w:szCs w:val="24"/>
          <w:highlight w:val="none"/>
        </w:rPr>
        <w:t xml:space="preserve">经双方协商一致，选择以下第</w:t>
      </w:r>
      <w:r>
        <w:rPr>
          <w:rFonts w:hint="eastAsia" w:ascii="宋体" w:hAnsi="宋体" w:eastAsia="宋体" w:cs="宋体"/>
          <w:sz w:val="24"/>
          <w:szCs w:val="24"/>
          <w:highlight w:val="none"/>
          <w:u w:val="single"/>
        </w:rPr>
        <w:t xml:space="preserve">  （  ）  </w:t>
      </w:r>
      <w:r>
        <w:rPr>
          <w:rFonts w:hint="eastAsia" w:ascii="宋体" w:hAnsi="宋体" w:eastAsia="宋体" w:cs="宋体"/>
          <w:sz w:val="24"/>
          <w:szCs w:val="24"/>
          <w:highlight w:val="none"/>
        </w:rPr>
        <w:t xml:space="preserve">种付款方式</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提交预付款保函的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合同签订且乙方向甲方出具预付款保函后</w:t>
      </w:r>
      <w:r>
        <w:rPr>
          <w:rFonts w:hint="eastAsia" w:ascii="宋体" w:hAnsi="宋体" w:eastAsia="宋体" w:cs="宋体"/>
          <w:color w:val="auto"/>
          <w:sz w:val="24"/>
          <w:szCs w:val="24"/>
          <w:highlight w:val="none"/>
          <w:u w:val="single"/>
        </w:rPr>
        <w:t xml:space="preserve"> 15 </w:t>
      </w:r>
      <w:r>
        <w:rPr>
          <w:rFonts w:hint="eastAsia" w:ascii="宋体" w:hAnsi="宋体" w:eastAsia="宋体" w:cs="宋体"/>
          <w:color w:val="auto"/>
          <w:sz w:val="24"/>
          <w:szCs w:val="24"/>
          <w:highlight w:val="none"/>
        </w:rPr>
        <w:t xml:space="preserve">日内，甲方向乙方支付合同总金额的百分之 </w:t>
      </w:r>
      <w:r>
        <w:rPr>
          <w:rFonts w:hint="eastAsia" w:ascii="宋体" w:hAnsi="宋体" w:eastAsia="宋体" w:cs="宋体"/>
          <w:color w:val="auto"/>
          <w:sz w:val="24"/>
          <w:szCs w:val="24"/>
          <w:highlight w:val="none"/>
          <w:u w:val="single"/>
          <w:lang w:eastAsia="zh-CN"/>
        </w:rPr>
        <w:t xml:space="preserve">二</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预付款抵扣后期应支付的</w:t>
      </w: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服务费用。</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不提交预付款保函的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u w:val="single"/>
        </w:rPr>
        <w:t xml:space="preserve"> 15 </w:t>
      </w:r>
      <w:r>
        <w:rPr>
          <w:rFonts w:hint="eastAsia" w:ascii="宋体" w:hAnsi="宋体" w:eastAsia="宋体" w:cs="宋体"/>
          <w:color w:val="auto"/>
          <w:sz w:val="24"/>
          <w:szCs w:val="24"/>
          <w:highlight w:val="none"/>
        </w:rPr>
        <w:t xml:space="preserve">日内，甲方向乙方支付合同总金额的百分之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p>
    <w:p>
      <w:pPr>
        <w:ind w:firstLine="47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（1）项目实际支出成本。主要是指组织、实施增减挂钩土地复垦项目而发生的各项开支，包括退出补偿费、土地复垦费、安置区建设、项目测绘、复垦方案编制、竣工验收必要的等级评定等费用的资金;</w:t>
      </w:r>
      <w:r/>
    </w:p>
    <w:p>
      <w:pPr>
        <w:ind w:firstLine="47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（2）合理比例利润。为保障项目投资、建设和营运，维护实施主体持续经营需要，本项目合理比例利润确定通过竞标确定。</w:t>
      </w:r>
      <w:r/>
    </w:p>
    <w:p>
      <w:pPr>
        <w:ind w:firstLine="47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2、费用结算。根据项目验收及指标交易情况，年终统一结算。</w:t>
      </w:r>
      <w:r/>
    </w:p>
    <w:p>
      <w:pPr>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七、评标办法及细则</w:t>
      </w:r>
      <w:r/>
    </w:p>
    <w:p>
      <w:pPr>
        <w:ind w:firstLine="47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1、评审方法：综合评分法</w:t>
      </w:r>
      <w:r/>
    </w:p>
    <w:p>
      <w:pPr>
        <w:ind w:firstLine="47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评审标准：本项目选用综合评分法，即公开招标投标文件满足公开招标文件全部实质性要求，且按照评审因素的量化指标评审得分最高的供应商为成交候选人。综合评分的主要因素是：报价、技术部分、商务部分，以及相应的比重或者权值等。详见《招标文件》第四章《评标标准》</w:t>
      </w:r>
      <w:r/>
    </w:p>
    <w:p>
      <w:pPr>
        <w:keepLines/>
        <w:keepNext w:val="0"/>
        <w:spacing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24"/>
          <w:szCs w:val="24"/>
          <w:highlight w:val="none"/>
          <w:lang w:val="en-US" w:eastAsia="zh-CN" w:bidi="ar-SA"/>
        </w:rPr>
        <w:t xml:space="preserve">八、</w:t>
      </w:r>
      <w:r>
        <w:rPr>
          <w:rFonts w:hint="eastAsia" w:ascii="宋体" w:hAnsi="宋体" w:eastAsia="宋体" w:cs="宋体"/>
          <w:b/>
          <w:bCs w:val="0"/>
          <w:color w:val="auto"/>
          <w:sz w:val="24"/>
          <w:szCs w:val="24"/>
          <w:highlight w:val="none"/>
          <w:lang w:val="en-US" w:eastAsia="zh-CN"/>
        </w:rPr>
        <w:t xml:space="preserve">其他要求：其他要求见《采购文件》《拟签订的合同文本》。</w:t>
      </w:r>
      <w:r/>
    </w:p>
    <w:p>
      <w:pPr>
        <w:ind w:firstLine="472"/>
        <w:jc w:val="both"/>
        <w:keepLines w:val="0"/>
        <w:keepNext w:val="0"/>
        <w:pageBreakBefore w:val="0"/>
        <w:spacing w:line="360" w:lineRule="auto"/>
        <w:widowControl w:val="off"/>
        <w:rPr>
          <w:rFonts w:hint="default" w:ascii="宋体" w:hAnsi="宋体" w:eastAsia="宋体" w:cs="宋体"/>
          <w:bCs/>
          <w:sz w:val="24"/>
          <w:szCs w:val="24"/>
          <w:highlight w:val="none"/>
          <w:lang w:val="en-US" w:eastAsia="zh-CN" w:bidi="ar-SA"/>
        </w:rPr>
      </w:pPr>
      <w:r>
        <w:rPr>
          <w:rFonts w:hint="default" w:ascii="宋体" w:hAnsi="宋体" w:eastAsia="宋体" w:cs="宋体"/>
          <w:bCs/>
          <w:sz w:val="24"/>
          <w:szCs w:val="24"/>
          <w:highlight w:val="none"/>
          <w:lang w:val="en-US" w:eastAsia="zh-CN" w:bidi="ar-SA"/>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2"/>
        <w:keepLines/>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r>
      <w:r/>
    </w:p>
    <w:p>
      <w:pPr>
        <w:ind w:firstLine="480"/>
        <w:keepNext w:val="0"/>
        <w:spacing w:after="0" w:line="360" w:lineRule="auto"/>
        <w:rPr>
          <w:rFonts w:hint="eastAsia" w:ascii="宋体" w:hAnsi="宋体" w:eastAsia="宋体" w:cs="宋体"/>
          <w:highlight w:val="none"/>
        </w:rPr>
      </w:pPr>
      <w:r>
        <w:rPr>
          <w:rFonts w:hint="eastAsia" w:ascii="宋体" w:hAnsi="宋体" w:eastAsia="宋体" w:cs="宋体"/>
          <w:highlight w:val="none"/>
        </w:rPr>
      </w:r>
      <w:r/>
    </w:p>
    <w:p>
      <w:pPr>
        <w:ind w:firstLine="480"/>
        <w:keepNext w:val="0"/>
        <w:spacing w:after="0" w:line="360" w:lineRule="auto"/>
        <w:rPr>
          <w:rFonts w:hint="eastAsia" w:ascii="宋体" w:hAnsi="宋体" w:eastAsia="宋体" w:cs="宋体"/>
          <w:highlight w:val="none"/>
        </w:rPr>
      </w:pPr>
      <w:r>
        <w:rPr>
          <w:rFonts w:hint="eastAsia" w:ascii="宋体" w:hAnsi="宋体" w:eastAsia="宋体" w:cs="宋体"/>
          <w:highlight w:val="none"/>
        </w:rPr>
      </w:r>
      <w:r/>
    </w:p>
    <w:p>
      <w:pPr>
        <w:ind w:firstLine="480"/>
        <w:keepNext w:val="0"/>
        <w:spacing w:after="0" w:line="360" w:lineRule="auto"/>
        <w:rPr>
          <w:rFonts w:hint="eastAsia" w:ascii="宋体" w:hAnsi="宋体" w:eastAsia="宋体" w:cs="宋体"/>
          <w:highlight w:val="none"/>
        </w:rPr>
      </w:pPr>
      <w:r>
        <w:rPr>
          <w:rFonts w:hint="eastAsia" w:ascii="宋体" w:hAnsi="宋体" w:eastAsia="宋体" w:cs="宋体"/>
          <w:highlight w:val="none"/>
        </w:rPr>
      </w:r>
      <w:r/>
    </w:p>
    <w:p>
      <w:pPr>
        <w:jc w:val="both"/>
        <w:keepLines/>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keepLines/>
        <w:keepNext w:val="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投标函</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法定代表人授权书</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w:t>
      </w:r>
      <w:r/>
    </w:p>
    <w:p>
      <w:pPr>
        <w:keepLines/>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具备履行合同所必需的设备和专业技术能力</w:t>
      </w:r>
      <w:r>
        <w:rPr>
          <w:rFonts w:hint="eastAsia" w:ascii="宋体" w:hAnsi="宋体" w:eastAsia="宋体" w:cs="宋体"/>
          <w:color w:val="auto"/>
          <w:sz w:val="24"/>
          <w:highlight w:val="none"/>
          <w:lang w:val="en-US" w:eastAsia="zh-CN"/>
        </w:rPr>
        <w:t xml:space="preserve">的书面声明</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投标人参加政府采购活动前3年内在经营活动中没有重大违法记录的书面声明</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残疾人福利性单位声明函</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8"/>
          <w:szCs w:val="28"/>
          <w:highlight w:val="none"/>
        </w:rPr>
        <w:t xml:space="preserve">投标</w:t>
      </w:r>
      <w:r>
        <w:rPr>
          <w:rFonts w:hint="eastAsia" w:ascii="宋体" w:hAnsi="宋体" w:eastAsia="宋体" w:cs="宋体"/>
          <w:b/>
          <w:bCs/>
          <w:color w:val="auto"/>
          <w:sz w:val="24"/>
          <w:szCs w:val="24"/>
          <w:highlight w:val="none"/>
        </w:rPr>
        <w:t xml:space="preserve">函</w:t>
      </w:r>
      <w:r/>
    </w:p>
    <w:p>
      <w:pPr>
        <w:keepLines/>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江苏瑞阳工程咨询有限公司</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JSZC-320381-JSRY-G2025-0027</w:t>
      </w:r>
      <w:r>
        <w:rPr>
          <w:rFonts w:hint="eastAsia" w:ascii="宋体" w:hAnsi="宋体" w:eastAsia="宋体" w:cs="宋体"/>
          <w:color w:val="auto"/>
          <w:sz w:val="24"/>
          <w:highlight w:val="none"/>
        </w:rPr>
        <w:t xml:space="preserve">]招标文件，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代表我方</w:t>
      </w:r>
      <w:r>
        <w:rPr>
          <w:rFonts w:hint="eastAsia" w:ascii="宋体" w:hAnsi="宋体" w:eastAsia="宋体" w:cs="宋体"/>
          <w:color w:val="auto"/>
          <w:szCs w:val="21"/>
          <w:highlight w:val="none"/>
        </w:rPr>
        <w:t xml:space="preserve">______________</w:t>
      </w:r>
      <w:r>
        <w:rPr>
          <w:rFonts w:hint="eastAsia" w:ascii="宋体" w:hAnsi="宋体" w:eastAsia="宋体" w:cs="宋体"/>
          <w:color w:val="auto"/>
          <w:sz w:val="24"/>
          <w:highlight w:val="none"/>
        </w:rPr>
        <w:t xml:space="preserve">（投标人的名称）全权处理本次投标的有关事宜。</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投标人唯一投标报价见《开标一览表》。</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投标人将按招标文件的规定履行合同责任和义务。</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投标有效期为90天。</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确定。如我单位被确定为中标、成交供应商，</w:t>
      </w:r>
      <w:r>
        <w:rPr>
          <w:rFonts w:hint="eastAsia" w:ascii="宋体" w:hAnsi="宋体" w:eastAsia="宋体" w:cs="宋体"/>
          <w:color w:val="auto"/>
          <w:sz w:val="24"/>
          <w:highlight w:val="none"/>
          <w:lang w:eastAsia="zh-CN"/>
        </w:rPr>
        <w:t xml:space="preserve">江苏瑞阳工程咨询有限公司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与本投标有关的一切正式往来信函请寄：</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法定代表人授权书</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职务：</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统一社会信用代码：</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                   性别：男（女）  </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  岁                 民族</w:t>
      </w:r>
      <w:r>
        <w:rPr>
          <w:rFonts w:hint="eastAsia" w:ascii="宋体" w:hAnsi="宋体" w:eastAsia="宋体" w:cs="宋体"/>
          <w:bCs/>
          <w:color w:val="auto"/>
          <w:sz w:val="24"/>
          <w:highlight w:val="none"/>
          <w:lang w:eastAsia="zh-CN"/>
        </w:rPr>
        <w:t xml:space="preserve">：  </w:t>
      </w:r>
      <w:r>
        <w:rPr>
          <w:rFonts w:hint="eastAsia" w:ascii="宋体" w:hAnsi="宋体" w:eastAsia="宋体" w:cs="宋体"/>
          <w:bCs/>
          <w:color w:val="auto"/>
          <w:sz w:val="24"/>
          <w:highlight w:val="none"/>
        </w:rPr>
        <w:t xml:space="preserve">   族</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职务：</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联系方式（手机号）：</w:t>
      </w:r>
      <w:r/>
    </w:p>
    <w:p>
      <w:pPr>
        <w:ind w:left="0" w:right="0" w:firstLine="0"/>
        <w:jc w:val="both"/>
        <w:keepLines/>
        <w:keepNext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兹委托（       ）全权代表我企业（公司）参与（</w:t>
      </w:r>
      <w:r>
        <w:rPr>
          <w:rFonts w:hint="eastAsia" w:ascii="宋体" w:hAnsi="宋体" w:cs="宋体"/>
          <w:color w:val="000000"/>
          <w:sz w:val="24"/>
          <w:highlight w:val="none"/>
          <w:u w:val="single"/>
          <w:lang w:eastAsia="zh-CN"/>
        </w:rPr>
        <w:t xml:space="preserve">新沂市2025年度耕地占补平衡项目</w:t>
      </w:r>
      <w:r>
        <w:rPr>
          <w:rFonts w:hint="eastAsia" w:ascii="宋体" w:hAnsi="宋体" w:eastAsia="宋体" w:cs="宋体"/>
          <w:bCs/>
          <w:color w:val="auto"/>
          <w:sz w:val="24"/>
          <w:highlight w:val="none"/>
        </w:rPr>
        <w:t xml:space="preserve">）项目（项目编号：</w:t>
      </w:r>
      <w:r>
        <w:rPr>
          <w:rFonts w:hint="eastAsia" w:ascii="宋体" w:hAnsi="宋体" w:cs="宋体"/>
          <w:bCs/>
          <w:color w:val="auto"/>
          <w:sz w:val="24"/>
          <w:highlight w:val="none"/>
          <w:u w:val="single"/>
          <w:lang w:eastAsia="zh-CN"/>
        </w:rPr>
        <w:t xml:space="preserve">JSZC-320381-JSRY-G2025-0027</w:t>
      </w:r>
      <w:r>
        <w:rPr>
          <w:rFonts w:hint="eastAsia" w:ascii="宋体" w:hAnsi="宋体" w:eastAsia="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特此授权委托。</w:t>
      </w:r>
      <w:r/>
    </w:p>
    <w:p>
      <w:pPr>
        <w:ind w:firstLine="630"/>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rPr>
          <w:rFonts w:hint="eastAsia" w:ascii="宋体" w:hAnsi="宋体" w:eastAsia="宋体" w:cs="宋体"/>
          <w:color w:val="auto"/>
          <w:sz w:val="24"/>
          <w:highlight w:val="none"/>
        </w:rPr>
        <w:t xml:space="preserve">电子签章</w:t>
      </w:r>
      <w:r>
        <w:rPr>
          <w:rFonts w:hint="eastAsia" w:ascii="宋体" w:hAnsi="宋体" w:eastAsia="宋体" w:cs="宋体"/>
          <w:bCs/>
          <w:color w:val="auto"/>
          <w:sz w:val="24"/>
          <w:highlight w:val="none"/>
        </w:rPr>
        <w:t xml:space="preserve">）：                  </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受托人（签字或</w:t>
      </w:r>
      <w:r>
        <w:rPr>
          <w:rFonts w:hint="eastAsia" w:ascii="宋体" w:hAnsi="宋体" w:eastAsia="宋体" w:cs="宋体"/>
          <w:color w:val="auto"/>
          <w:sz w:val="24"/>
          <w:highlight w:val="none"/>
        </w:rPr>
        <w:t xml:space="preserve">签章</w:t>
      </w:r>
      <w:r>
        <w:rPr>
          <w:rFonts w:hint="eastAsia" w:ascii="宋体" w:hAnsi="宋体" w:eastAsia="宋体" w:cs="宋体"/>
          <w:bCs/>
          <w:color w:val="auto"/>
          <w:sz w:val="24"/>
          <w:highlight w:val="none"/>
        </w:rPr>
        <w:t xml:space="preserve">）：</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w:t>
      </w:r>
      <w:r>
        <w:rPr>
          <w:rFonts w:hint="eastAsia" w:ascii="宋体" w:hAnsi="宋体" w:eastAsia="宋体" w:cs="宋体"/>
          <w:color w:val="auto"/>
          <w:sz w:val="24"/>
          <w:highlight w:val="none"/>
        </w:rPr>
        <w:t xml:space="preserve">电子签章</w:t>
      </w:r>
      <w:r>
        <w:rPr>
          <w:rFonts w:hint="eastAsia" w:ascii="宋体" w:hAnsi="宋体" w:eastAsia="宋体" w:cs="宋体"/>
          <w:bCs/>
          <w:color w:val="auto"/>
          <w:sz w:val="24"/>
          <w:highlight w:val="none"/>
        </w:rPr>
        <w:t xml:space="preserve">）： </w:t>
      </w:r>
      <w:r/>
    </w:p>
    <w:p>
      <w:pPr>
        <w:ind w:firstLine="720"/>
        <w:jc w:val="right"/>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受托人身份证原件扫描件附后</w:t>
      </w:r>
      <w:r>
        <w:rPr>
          <w:rFonts w:hint="eastAsia" w:ascii="宋体" w:hAnsi="宋体" w:eastAsia="宋体" w:cs="宋体"/>
          <w:bCs/>
          <w:color w:val="auto"/>
          <w:sz w:val="24"/>
          <w:highlight w:val="none"/>
          <w:lang w:eastAsia="zh-CN"/>
        </w:rPr>
        <w:t xml:space="preserve">）</w:t>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开标一览表</w:t>
      </w:r>
      <w:r/>
    </w:p>
    <w:p>
      <w:pPr>
        <w:jc w:val="left"/>
        <w:keepLines/>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新沂市2025年度耕地占补平衡项目</w:t>
      </w:r>
      <w:r/>
    </w:p>
    <w:p>
      <w:pPr>
        <w:jc w:val="left"/>
        <w:keepLines/>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JSZC-320381-JSRY-G2025-0027</w:t>
      </w:r>
      <w:r>
        <w:rPr>
          <w:rFonts w:hint="eastAsia" w:ascii="宋体" w:hAnsi="宋体" w:eastAsia="宋体" w:cs="宋体"/>
          <w:color w:val="auto"/>
          <w:sz w:val="24"/>
          <w:highlight w:val="none"/>
          <w:u w:val="single"/>
        </w:rPr>
        <w:t xml:space="preserve"> </w:t>
      </w:r>
      <w:r/>
    </w:p>
    <w:p>
      <w:pPr>
        <w:jc w:val="left"/>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809"/>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97"/>
        <w:gridCol w:w="3314"/>
      </w:tblGrid>
      <w:tr>
        <w:trPr>
          <w:cantSplit/>
          <w:jc w:val="center"/>
          <w:trHeight w:val="1712"/>
        </w:trPr>
        <w:tc>
          <w:tcPr>
            <w:tcW w:w="3067" w:type="dxa"/>
            <w:vAlign w:val="center"/>
            <w:textDirection w:val="lrTb"/>
            <w:noWrap w:val="false"/>
          </w:tcPr>
          <w:p>
            <w:pPr>
              <w:jc w:val="cente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397" w:type="dxa"/>
            <w:vAlign w:val="center"/>
            <w:textDirection w:val="lrTb"/>
            <w:noWrap w:val="false"/>
          </w:tcPr>
          <w:p>
            <w:pPr>
              <w:jc w:val="cente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3314" w:type="dxa"/>
            <w:vAlign w:val="center"/>
            <w:textDirection w:val="lrTb"/>
            <w:noWrap w:val="false"/>
          </w:tcPr>
          <w:p>
            <w:pPr>
              <w:jc w:val="center"/>
              <w:keepLines/>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小写（元）</w:t>
            </w:r>
            <w:r/>
          </w:p>
        </w:tc>
      </w:tr>
      <w:tr>
        <w:trPr>
          <w:cantSplit/>
          <w:jc w:val="center"/>
          <w:trHeight w:val="1760"/>
        </w:trPr>
        <w:tc>
          <w:tcPr>
            <w:tcW w:w="3067"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新沂市2025年度耕地占补平衡项目</w:t>
            </w:r>
            <w:r/>
          </w:p>
        </w:tc>
        <w:tc>
          <w:tcPr>
            <w:tcW w:w="2397"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314"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116"/>
        </w:trPr>
        <w:tc>
          <w:tcPr>
            <w:tcW w:w="3067"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276"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分项价格表</w:t>
      </w:r>
      <w:r/>
    </w:p>
    <w:p>
      <w:pPr>
        <w:pStyle w:val="899"/>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99"/>
        <w:rPr>
          <w:rFonts w:hint="eastAsia" w:ascii="宋体" w:hAnsi="宋体" w:eastAsia="宋体" w:cs="宋体"/>
          <w:highlight w:val="none"/>
        </w:rPr>
      </w:pPr>
      <w:r>
        <w:rPr>
          <w:rFonts w:hint="eastAsia" w:ascii="宋体" w:hAnsi="宋体" w:eastAsia="宋体" w:cs="宋体"/>
          <w:highlight w:val="none"/>
        </w:rPr>
      </w:r>
      <w:r/>
    </w:p>
    <w:p>
      <w:pPr>
        <w:jc w:val="left"/>
        <w:keepLines/>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新沂市2025年度耕地占补平衡项目</w:t>
      </w:r>
      <w:r/>
    </w:p>
    <w:p>
      <w:pPr>
        <w:jc w:val="both"/>
        <w:keepLines/>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JSZC-320381-JSRY-G2025-0027</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w:t>
      </w:r>
      <w:r/>
    </w:p>
    <w:p>
      <w:pPr>
        <w:jc w:val="both"/>
        <w:keepLines/>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keepNext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格式自拟</w:t>
      </w:r>
      <w:r/>
    </w:p>
    <w:p>
      <w:pPr>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keepNext w:val="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keepNext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jc w:val="left"/>
        <w:keepLines/>
        <w:keepNext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jc w:val="left"/>
        <w:keepLines/>
        <w:keepNext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firstLine="562"/>
        <w:jc w:val="left"/>
        <w:keepLines/>
        <w:keepNext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9"/>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keepLines/>
        <w:keepNext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5、</w:t>
      </w:r>
      <w:r>
        <w:rPr>
          <w:rFonts w:hint="eastAsia" w:ascii="宋体" w:hAnsi="宋体" w:eastAsia="宋体" w:cs="宋体"/>
          <w:b/>
          <w:bCs/>
          <w:color w:val="auto"/>
          <w:sz w:val="28"/>
          <w:szCs w:val="28"/>
          <w:highlight w:val="none"/>
          <w:lang w:eastAsia="zh-CN"/>
        </w:rPr>
        <w:t xml:space="preserve">具备履行合同所必需的设备和专业技术能力的书面声明</w:t>
      </w:r>
      <w:r/>
    </w:p>
    <w:p>
      <w:pPr>
        <w:numPr>
          <w:ilvl w:val="0"/>
          <w:numId w:val="0"/>
        </w:numPr>
        <w:jc w:val="cente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lang w:eastAsia="zh-CN"/>
        </w:rPr>
        <w:t xml:space="preserve">（附证明材料扫描件）</w:t>
      </w:r>
      <w:r/>
    </w:p>
    <w:p>
      <w:pPr>
        <w:jc w:val="left"/>
        <w:keepLines/>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新沂市2025年度耕地占补平衡项目</w:t>
      </w:r>
      <w:r/>
    </w:p>
    <w:p>
      <w:pPr>
        <w:jc w:val="left"/>
        <w:keepLines/>
        <w:keepNext w:val="0"/>
        <w:spacing w:line="360" w:lineRule="auto"/>
        <w:widowControl/>
        <w:rPr>
          <w:rFonts w:hint="eastAsia" w:ascii="宋体" w:hAnsi="宋体" w:eastAsia="宋体" w:cs="宋体"/>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JSZC-320381-JSRY-G2025-0027</w:t>
      </w:r>
      <w:r/>
    </w:p>
    <w:p>
      <w:pPr>
        <w:ind w:firstLine="480"/>
        <w:jc w:val="left"/>
        <w:keepLines/>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新沂市2025年度耕地占补平衡项目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JSZC-320381-JSRY-G2025-0027</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817"/>
        <w:keepLines/>
        <w:keepNext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 </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Next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817"/>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ind w:firstLine="300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868"/>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8"/>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8"/>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8"/>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8"/>
        <w:ind w:left="0" w:firstLine="0"/>
        <w:keepLines/>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keepLines/>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投标人参加政府采购活动前3年内在经营活动中没有重大违法记录的书面声明</w:t>
      </w:r>
      <w:r/>
    </w:p>
    <w:p>
      <w:pPr>
        <w:jc w:val="cente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新沂市2025年度耕地占补平衡项目</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JSZC-320381-JSRY-G2025-0027</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keepNext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9"/>
        <w:numPr>
          <w:ilvl w:val="3"/>
          <w:numId w:val="0"/>
        </w:numPr>
        <w:rPr>
          <w:rFonts w:hint="eastAsia" w:ascii="宋体" w:hAnsi="宋体" w:eastAsia="宋体" w:cs="宋体"/>
          <w:highlight w:val="none"/>
        </w:rPr>
      </w:pPr>
      <w:r>
        <w:rPr>
          <w:rFonts w:hint="eastAsia" w:ascii="宋体" w:hAnsi="宋体" w:eastAsia="宋体" w:cs="宋体"/>
          <w:highlight w:val="none"/>
        </w:rPr>
      </w:r>
      <w:r/>
    </w:p>
    <w:p>
      <w:pPr>
        <w:jc w:val="center"/>
        <w:keepLines/>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偏离表</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keepNext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新沂市2025年度耕地占补平衡项目</w:t>
      </w:r>
      <w:r/>
    </w:p>
    <w:p>
      <w:pPr>
        <w:keepLines/>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JSZC-320381-JSRY-G2025-0027</w:t>
      </w:r>
      <w:r/>
    </w:p>
    <w:tbl>
      <w:tblPr>
        <w:tblStyle w:val="809"/>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keepLines/>
              <w:keepNext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28"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vAlign w:val="top"/>
            <w:textDirection w:val="lrTb"/>
            <w:noWrap w:val="false"/>
          </w:tcPr>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keepNext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keepLines/>
        <w:keepNext w:val="0"/>
        <w:spacing w:before="100" w:beforeAutospacing="1" w:after="100" w:afterAutospacing="1" w:line="360" w:lineRule="auto"/>
        <w:widowControl/>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8</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中小企业声明函</w:t>
      </w:r>
      <w:r/>
    </w:p>
    <w:p>
      <w:pPr>
        <w:keepLines/>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新沂市2025年度耕地占补平衡项目</w:t>
      </w:r>
      <w:r/>
    </w:p>
    <w:p>
      <w:pPr>
        <w:keepLines/>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JSZC-320381-JSRY-G2025-0027</w:t>
      </w:r>
      <w:r/>
    </w:p>
    <w:p>
      <w:pPr>
        <w:pStyle w:val="825"/>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z w:val="24"/>
          <w:highlight w:val="none"/>
        </w:rPr>
        <w:t xml:space="preserve">行业；承建（承接）企业为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b/>
          <w:sz w:val="24"/>
          <w:highlight w:val="none"/>
        </w:rPr>
        <w:t xml:space="preserve">属于（□中型企业、□小型企业、□微型企业，请勾选！）</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1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525"/>
        <w:jc w:val="left"/>
        <w:spacing w:before="100" w:beforeAutospacing="1" w:after="100" w:afterAutospacing="1" w:line="450" w:lineRule="atLeast"/>
        <w:widowControl/>
        <w:rPr>
          <w:rFonts w:hint="eastAsia" w:ascii="宋体" w:hAnsi="宋体" w:eastAsia="宋体" w:cs="宋体"/>
          <w:szCs w:val="21"/>
          <w:highlight w:val="none"/>
        </w:rPr>
      </w:pPr>
      <w:r>
        <w:rPr>
          <w:rFonts w:hint="eastAsia" w:ascii="宋体" w:hAnsi="宋体" w:eastAsia="宋体" w:cs="宋体"/>
          <w:sz w:val="24"/>
          <w:highlight w:val="none"/>
        </w:rPr>
        <w:t xml:space="preserve">注：本项目采购的服务属于</w:t>
      </w:r>
      <w:r>
        <w:rPr>
          <w:rFonts w:hint="eastAsia" w:ascii="宋体" w:hAnsi="宋体" w:eastAsia="宋体" w:cs="宋体"/>
          <w:sz w:val="24"/>
          <w:highlight w:val="none"/>
          <w:u w:val="single"/>
        </w:rPr>
        <w:t xml:space="preserve"> 其他未列明行业</w:t>
      </w:r>
      <w:r>
        <w:rPr>
          <w:rFonts w:hint="eastAsia" w:ascii="宋体" w:hAnsi="宋体" w:eastAsia="宋体" w:cs="宋体"/>
          <w:sz w:val="24"/>
          <w:highlight w:val="none"/>
        </w:rPr>
        <w:t xml:space="preserve">。 </w:t>
      </w:r>
      <w:r/>
    </w:p>
    <w:p>
      <w:pPr>
        <w:ind w:firstLine="56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56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2"/>
        <w:keepLines/>
        <w:keepNext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备注：本采购项目所属行业为“</w:t>
      </w:r>
      <w:r>
        <w:rPr>
          <w:rFonts w:hint="eastAsia" w:ascii="宋体" w:hAnsi="宋体" w:eastAsia="宋体" w:cs="宋体"/>
          <w:b/>
          <w:color w:val="auto"/>
          <w:sz w:val="24"/>
          <w:highlight w:val="none"/>
          <w:lang w:val="en-US" w:eastAsia="zh-CN"/>
        </w:rPr>
        <w:t xml:space="preserve">服务</w:t>
      </w:r>
      <w:r>
        <w:rPr>
          <w:rFonts w:hint="eastAsia" w:ascii="宋体" w:hAnsi="宋体" w:eastAsia="宋体" w:cs="宋体"/>
          <w:b/>
          <w:color w:val="auto"/>
          <w:sz w:val="24"/>
          <w:highlight w:val="none"/>
        </w:rPr>
        <w:t xml:space="preserve">”。</w:t>
      </w:r>
      <w:r/>
    </w:p>
    <w:p>
      <w:pPr>
        <w:ind w:firstLine="562"/>
        <w:keepLines/>
        <w:keepNext w:val="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1、从业人员、营业收入、资产总额填报上一年度数据，无上一年度数据的新成立企业可不填报。</w:t>
      </w:r>
      <w:r/>
    </w:p>
    <w:p>
      <w:pPr>
        <w:ind w:firstLine="562"/>
        <w:keepLines/>
        <w:keepNext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2、《中小企业声明函》查询渠道用微信搜索“中小企业规模类型自测小程序”。</w:t>
      </w:r>
      <w:r/>
    </w:p>
    <w:p>
      <w:pPr>
        <w:ind w:firstLine="312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68"/>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附件：</w:t>
      </w:r>
      <w:r/>
    </w:p>
    <w:p>
      <w:pPr>
        <w:pStyle w:val="868"/>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3656965" cy="7592695"/>
                <wp:effectExtent l="0" t="0" r="635" b="825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8"/>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9pt;height:597.9pt;mso-wrap-distance-left:0.0pt;mso-wrap-distance-top:0.0pt;mso-wrap-distance-right:0.0pt;mso-wrap-distance-bottom:0.0pt;" stroked="f">
                <v:path textboxrect="0,0,0,0"/>
                <v:imagedata r:id="rId18" o:title=""/>
              </v:shape>
            </w:pict>
          </mc:Fallback>
        </mc:AlternateContent>
      </w:r>
      <w:r/>
    </w:p>
    <w:p>
      <w:pPr>
        <w:pStyle w:val="868"/>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val="0"/>
        <w:spacing w:line="360" w:lineRule="auto"/>
        <w:rPr>
          <w:rFonts w:hint="eastAsia" w:ascii="宋体" w:hAnsi="宋体" w:eastAsia="宋体" w:cs="宋体"/>
          <w:b/>
          <w:bCs/>
          <w:color w:val="auto"/>
          <w:spacing w:val="6"/>
          <w:sz w:val="32"/>
          <w:szCs w:val="32"/>
          <w:highlight w:val="none"/>
        </w:rPr>
      </w:pPr>
      <w:r>
        <w:rPr>
          <w:rFonts w:hint="eastAsia" w:ascii="宋体" w:hAnsi="宋体" w:eastAsia="宋体" w:cs="宋体"/>
          <w:b/>
          <w:bCs w:val="0"/>
          <w:color w:val="auto"/>
          <w:sz w:val="28"/>
          <w:szCs w:val="28"/>
          <w:highlight w:val="none"/>
        </w:rPr>
        <w:t xml:space="preserve">9</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残疾人福利性单位声明函</w:t>
      </w:r>
      <w:r/>
    </w:p>
    <w:p>
      <w:pPr>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keepNext w:val="0"/>
        <w:spacing w:line="360" w:lineRule="auto"/>
        <w:widowControl/>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新沂市2025年度耕地占补平衡项目</w:t>
      </w:r>
      <w:r/>
    </w:p>
    <w:p>
      <w:pPr>
        <w:jc w:val="left"/>
        <w:keepLines/>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JSZC-320381-JSRY-G2025-0027</w:t>
      </w:r>
      <w:r/>
    </w:p>
    <w:p>
      <w:pPr>
        <w:ind w:firstLine="504"/>
        <w:jc w:val="left"/>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z w:val="24"/>
          <w:highlight w:val="none"/>
        </w:rPr>
        <w:t xml:space="preserve">______</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keepNext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00"/>
        <w:jc w:val="left"/>
        <w:keepLines/>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8"/>
        <w:ind w:left="0" w:firstLine="0"/>
        <w:keepLines/>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ind w:firstLine="0"/>
        <w:jc w:val="center"/>
        <w:keepLines/>
        <w:keepNext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预付款保函支付条款</w:t>
      </w:r>
      <w:r/>
    </w:p>
    <w:p>
      <w:pPr>
        <w:ind w:firstLine="482"/>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付款条件一：提交预付款保函的</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2"/>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keepLines/>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付款条件二：不提交预付款保函的</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注：1、付款条件一中，出具预付款保函后支付的合同款应当与保函金额一致。</w:t>
      </w:r>
      <w:r/>
    </w:p>
    <w:p>
      <w:pPr>
        <w:numPr>
          <w:ilvl w:val="0"/>
          <w:numId w:val="6"/>
        </w:numPr>
        <w:ind w:firstLine="480"/>
        <w:jc w:val="left"/>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p>
      <w:pPr>
        <w:pStyle w:val="868"/>
        <w:ind w:left="0" w:firstLine="0"/>
        <w:keepLines/>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1"/>
      <w:footerReference w:type="default" r:id="rId15"/>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PMingLiU">
    <w:panose1 w:val="02020500000000000000"/>
  </w:font>
  <w:font w:name="Verdana">
    <w:panose1 w:val="020B0604030504040204"/>
  </w:font>
  <w:font w:name="黑体">
    <w:panose1 w:val="02010609060101010101"/>
  </w:font>
  <w:font w:name="仿宋_GB2312">
    <w:panose1 w:val="02010609060101010101"/>
  </w:font>
  <w:font w:name="Courier New">
    <w:panose1 w:val="02070309020205020404"/>
  </w:font>
  <w:font w:name="方正书宋简体">
    <w:panose1 w:val="020B0503020202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980"/>
      </w:rPr>
      <w:framePr w:wrap="around" w:vAnchor="text" w:hAnchor="margin" w:xAlign="center" w:y="1"/>
    </w:pPr>
    <w:r>
      <w:fldChar w:fldCharType="begin"/>
    </w:r>
    <w:r>
      <w:rPr>
        <w:rStyle w:val="980"/>
      </w:rPr>
      <w:instrText xml:space="preserve">PAGE  </w:instrText>
    </w:r>
    <w:r>
      <w:fldChar w:fldCharType="end"/>
    </w:r>
    <w:r/>
  </w:p>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6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right="0" w:firstLine="0"/>
      <w:spacing w:after="57"/>
    </w:pPr>
  </w:style>
  <w:style w:type="paragraph" w:styleId="811">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index 5"/>
    <w:basedOn w:val="798"/>
    <w:next w:val="798"/>
    <w:uiPriority w:val="0"/>
    <w:qFormat/>
    <w:pPr>
      <w:ind w:left="798"/>
    </w:pPr>
    <w:rPr>
      <w:rFonts w:ascii="Calibri" w:hAnsi="Calibri"/>
      <w:sz w:val="21"/>
    </w:rPr>
  </w:style>
  <w:style w:type="paragraph" w:styleId="813">
    <w:name w:val="annotation text"/>
    <w:basedOn w:val="798"/>
    <w:uiPriority w:val="99"/>
    <w:semiHidden/>
    <w:unhideWhenUsed/>
    <w:qFormat/>
    <w:pPr>
      <w:jc w:val="left"/>
    </w:pPr>
  </w:style>
  <w:style w:type="paragraph" w:styleId="814">
    <w:name w:val="Body Text"/>
    <w:basedOn w:val="798"/>
    <w:next w:val="798"/>
    <w:uiPriority w:val="0"/>
    <w:qFormat/>
  </w:style>
  <w:style w:type="paragraph" w:styleId="815">
    <w:name w:val="Body Text Indent"/>
    <w:basedOn w:val="798"/>
    <w:next w:val="816"/>
    <w:uiPriority w:val="0"/>
    <w:qFormat/>
    <w:pPr>
      <w:ind w:firstLine="600"/>
      <w:spacing w:line="317" w:lineRule="auto"/>
    </w:pPr>
    <w:rPr>
      <w:rFonts w:ascii="方正书宋简体" w:eastAsia="方正书宋简体"/>
      <w:sz w:val="30"/>
    </w:rPr>
  </w:style>
  <w:style w:type="paragraph" w:styleId="816">
    <w:name w:val="envelope return"/>
    <w:basedOn w:val="798"/>
    <w:uiPriority w:val="99"/>
    <w:qFormat/>
    <w:pPr>
      <w:ind w:firstLine="200"/>
      <w:spacing w:line="360" w:lineRule="auto"/>
    </w:pPr>
    <w:rPr>
      <w:rFonts w:ascii="Arial" w:hAnsi="Arial" w:cs="Arial"/>
      <w:sz w:val="24"/>
    </w:rPr>
  </w:style>
  <w:style w:type="paragraph" w:styleId="817">
    <w:name w:val="Block Text"/>
    <w:basedOn w:val="798"/>
    <w:next w:val="798"/>
    <w:uiPriority w:val="0"/>
    <w:qFormat/>
    <w:pPr>
      <w:ind w:left="420" w:right="33"/>
      <w:jc w:val="left"/>
    </w:pPr>
    <w:rPr>
      <w:sz w:val="24"/>
      <w:szCs w:val="20"/>
    </w:rPr>
  </w:style>
  <w:style w:type="paragraph" w:styleId="818">
    <w:name w:val="toc 5"/>
    <w:basedOn w:val="798"/>
    <w:next w:val="798"/>
    <w:uiPriority w:val="39"/>
    <w:unhideWhenUsed/>
    <w:qFormat/>
    <w:pPr>
      <w:ind w:left="1134" w:right="0" w:firstLine="0"/>
      <w:spacing w:after="57"/>
    </w:pPr>
  </w:style>
  <w:style w:type="paragraph" w:styleId="819">
    <w:name w:val="toc 3"/>
    <w:basedOn w:val="798"/>
    <w:next w:val="798"/>
    <w:uiPriority w:val="39"/>
    <w:unhideWhenUsed/>
    <w:qFormat/>
    <w:pPr>
      <w:ind w:left="567" w:right="0" w:firstLine="0"/>
      <w:spacing w:after="57"/>
    </w:pPr>
  </w:style>
  <w:style w:type="paragraph" w:styleId="820">
    <w:name w:val="Plain Text"/>
    <w:basedOn w:val="798"/>
    <w:uiPriority w:val="0"/>
    <w:qFormat/>
    <w:rPr>
      <w:rFonts w:ascii="宋体" w:hAnsi="Courier New"/>
      <w:szCs w:val="20"/>
    </w:rPr>
  </w:style>
  <w:style w:type="paragraph" w:styleId="821">
    <w:name w:val="toc 8"/>
    <w:basedOn w:val="798"/>
    <w:next w:val="798"/>
    <w:uiPriority w:val="39"/>
    <w:unhideWhenUsed/>
    <w:qFormat/>
    <w:pPr>
      <w:ind w:left="1984" w:right="0" w:firstLine="0"/>
      <w:spacing w:after="57"/>
    </w:pPr>
  </w:style>
  <w:style w:type="paragraph" w:styleId="822">
    <w:name w:val="endnote text"/>
    <w:basedOn w:val="798"/>
    <w:uiPriority w:val="99"/>
    <w:semiHidden/>
    <w:unhideWhenUsed/>
    <w:qFormat/>
    <w:pPr>
      <w:spacing w:after="0" w:line="240" w:lineRule="auto"/>
    </w:pPr>
    <w:rPr>
      <w:sz w:val="20"/>
    </w:rPr>
  </w:style>
  <w:style w:type="paragraph" w:styleId="823">
    <w:name w:val="Footer"/>
    <w:basedOn w:val="798"/>
    <w:uiPriority w:val="99"/>
    <w:unhideWhenUsed/>
    <w:qFormat/>
    <w:pPr>
      <w:spacing w:after="0" w:line="240" w:lineRule="auto"/>
      <w:tabs>
        <w:tab w:val="center" w:pos="7143" w:leader="none"/>
        <w:tab w:val="right" w:pos="14287" w:leader="none"/>
      </w:tabs>
    </w:pPr>
  </w:style>
  <w:style w:type="paragraph" w:styleId="824">
    <w:name w:val="Header"/>
    <w:basedOn w:val="798"/>
    <w:uiPriority w:val="99"/>
    <w:unhideWhenUsed/>
    <w:qFormat/>
    <w:pPr>
      <w:spacing w:after="0" w:line="240" w:lineRule="auto"/>
      <w:tabs>
        <w:tab w:val="center" w:pos="7143" w:leader="none"/>
        <w:tab w:val="right" w:pos="14287" w:leader="none"/>
      </w:tabs>
    </w:pPr>
  </w:style>
  <w:style w:type="paragraph" w:styleId="825">
    <w:name w:val="toc 1"/>
    <w:basedOn w:val="798"/>
    <w:next w:val="798"/>
    <w:uiPriority w:val="39"/>
    <w:unhideWhenUsed/>
    <w:qFormat/>
    <w:pPr>
      <w:ind w:left="0" w:right="0" w:firstLine="0"/>
      <w:spacing w:after="57"/>
    </w:pPr>
  </w:style>
  <w:style w:type="paragraph" w:styleId="826">
    <w:name w:val="toc 4"/>
    <w:basedOn w:val="798"/>
    <w:next w:val="798"/>
    <w:uiPriority w:val="39"/>
    <w:unhideWhenUsed/>
    <w:qFormat/>
    <w:pPr>
      <w:ind w:left="850" w:right="0" w:firstLine="0"/>
      <w:spacing w:after="57"/>
    </w:pPr>
  </w:style>
  <w:style w:type="paragraph" w:styleId="827">
    <w:name w:val="Subtitle"/>
    <w:basedOn w:val="798"/>
    <w:next w:val="798"/>
    <w:uiPriority w:val="11"/>
    <w:qFormat/>
    <w:pPr>
      <w:spacing w:before="200" w:after="200"/>
    </w:pPr>
    <w:rPr>
      <w:sz w:val="24"/>
      <w:szCs w:val="24"/>
    </w:rPr>
  </w:style>
  <w:style w:type="paragraph" w:styleId="828">
    <w:name w:val="footnote text"/>
    <w:basedOn w:val="798"/>
    <w:next w:val="812"/>
    <w:uiPriority w:val="99"/>
    <w:semiHidden/>
    <w:unhideWhenUsed/>
    <w:qFormat/>
    <w:pPr>
      <w:spacing w:after="40" w:line="240" w:lineRule="auto"/>
    </w:pPr>
    <w:rPr>
      <w:sz w:val="18"/>
    </w:rPr>
  </w:style>
  <w:style w:type="paragraph" w:styleId="829">
    <w:name w:val="toc 6"/>
    <w:basedOn w:val="798"/>
    <w:next w:val="798"/>
    <w:uiPriority w:val="39"/>
    <w:unhideWhenUsed/>
    <w:qFormat/>
    <w:pPr>
      <w:ind w:left="1417" w:right="0" w:firstLine="0"/>
      <w:spacing w:after="57"/>
    </w:pPr>
  </w:style>
  <w:style w:type="paragraph" w:styleId="830">
    <w:name w:val="table of figures"/>
    <w:basedOn w:val="798"/>
    <w:next w:val="798"/>
    <w:uiPriority w:val="99"/>
    <w:unhideWhenUsed/>
    <w:qFormat/>
    <w:pPr>
      <w:spacing w:after="0" w:afterAutospacing="0"/>
    </w:pPr>
  </w:style>
  <w:style w:type="paragraph" w:styleId="831">
    <w:name w:val="toc 2"/>
    <w:basedOn w:val="798"/>
    <w:next w:val="798"/>
    <w:uiPriority w:val="39"/>
    <w:unhideWhenUsed/>
    <w:qFormat/>
    <w:pPr>
      <w:ind w:left="283" w:right="0" w:firstLine="0"/>
      <w:spacing w:after="57"/>
    </w:pPr>
  </w:style>
  <w:style w:type="paragraph" w:styleId="832">
    <w:name w:val="toc 9"/>
    <w:basedOn w:val="798"/>
    <w:next w:val="798"/>
    <w:uiPriority w:val="39"/>
    <w:unhideWhenUsed/>
    <w:qFormat/>
    <w:pPr>
      <w:ind w:left="2268" w:right="0" w:firstLine="0"/>
      <w:spacing w:after="57"/>
    </w:pPr>
  </w:style>
  <w:style w:type="paragraph" w:styleId="833">
    <w:name w:val="Body Text 2"/>
    <w:basedOn w:val="798"/>
    <w:uiPriority w:val="99"/>
    <w:semiHidden/>
    <w:unhideWhenUsed/>
    <w:qFormat/>
    <w:pPr>
      <w:spacing w:after="120" w:line="480" w:lineRule="auto"/>
    </w:pPr>
  </w:style>
  <w:style w:type="paragraph" w:styleId="834">
    <w:name w:val="Title"/>
    <w:basedOn w:val="798"/>
    <w:next w:val="798"/>
    <w:uiPriority w:val="10"/>
    <w:qFormat/>
    <w:pPr>
      <w:contextualSpacing/>
      <w:spacing w:before="300" w:after="200"/>
    </w:pPr>
    <w:rPr>
      <w:sz w:val="48"/>
      <w:szCs w:val="48"/>
    </w:rPr>
  </w:style>
  <w:style w:type="table" w:styleId="8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endnote reference"/>
    <w:uiPriority w:val="99"/>
    <w:semiHidden/>
    <w:unhideWhenUsed/>
    <w:qFormat/>
    <w:rPr>
      <w:vertAlign w:val="superscript"/>
    </w:rPr>
  </w:style>
  <w:style w:type="character" w:styleId="837">
    <w:name w:val="Hyperlink"/>
    <w:uiPriority w:val="99"/>
    <w:unhideWhenUsed/>
    <w:qFormat/>
    <w:rPr>
      <w:color w:val="0000ff" w:themeColor="hyperlink"/>
      <w:u w:val="single"/>
      <w14:textFill>
        <w14:solidFill>
          <w14:schemeClr w14:val="hlink"/>
        </w14:solidFill>
      </w14:textFill>
    </w:rPr>
  </w:style>
  <w:style w:type="character" w:styleId="838">
    <w:name w:val="footnote reference"/>
    <w:uiPriority w:val="99"/>
    <w:unhideWhenUsed/>
    <w:qFormat/>
    <w:rPr>
      <w:vertAlign w:val="superscript"/>
    </w:rPr>
  </w:style>
  <w:style w:type="paragraph" w:styleId="839" w:customStyle="1">
    <w:name w:val="BlockQuote"/>
    <w:basedOn w:val="798"/>
    <w:uiPriority w:val="0"/>
    <w:qFormat/>
    <w:pPr>
      <w:ind w:left="256" w:right="6" w:firstLine="624"/>
    </w:pPr>
    <w:rPr>
      <w:rFonts w:eastAsia="仿宋_GB2312"/>
      <w:sz w:val="28"/>
    </w:rPr>
  </w:style>
  <w:style w:type="paragraph" w:styleId="840" w:customStyle="1">
    <w:name w:val="一级条标题"/>
    <w:basedOn w:val="841"/>
    <w:next w:val="8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1" w:customStyle="1">
    <w:name w:val="章标题"/>
    <w:next w:val="8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2" w:customStyle="1">
    <w:name w:val="正文1"/>
    <w:basedOn w:val="843"/>
    <w:next w:val="856"/>
    <w:uiPriority w:val="0"/>
    <w:qFormat/>
    <w:rPr>
      <w:rFonts w:hint="default" w:ascii="Times New Roman" w:hAnsi="Times New Roman" w:eastAsia="宋体" w:cs="Times New Roman"/>
      <w:lang w:val="en-US" w:eastAsia="zh-CN" w:bidi="ar-SA"/>
    </w:rPr>
  </w:style>
  <w:style w:type="paragraph" w:styleId="843" w:customStyle="1">
    <w:name w:val="正文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正文首行缩进11"/>
    <w:basedOn w:val="845"/>
    <w:next w:val="853"/>
    <w:uiPriority w:val="0"/>
    <w:qFormat/>
    <w:pPr>
      <w:ind w:firstLine="420"/>
    </w:pPr>
    <w:rPr>
      <w:sz w:val="24"/>
    </w:rPr>
  </w:style>
  <w:style w:type="paragraph" w:styleId="845" w:customStyle="1">
    <w:name w:val="正文文本1"/>
    <w:basedOn w:val="846"/>
    <w:next w:val="840"/>
    <w:uiPriority w:val="0"/>
    <w:qFormat/>
    <w:pPr>
      <w:spacing w:after="120"/>
    </w:pPr>
  </w:style>
  <w:style w:type="paragraph" w:styleId="846" w:customStyle="1">
    <w:name w:val="正文111"/>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首行缩进1"/>
    <w:basedOn w:val="848"/>
    <w:next w:val="850"/>
    <w:uiPriority w:val="0"/>
    <w:qFormat/>
    <w:pPr>
      <w:ind w:firstLine="420"/>
    </w:pPr>
  </w:style>
  <w:style w:type="paragraph" w:styleId="848" w:customStyle="1">
    <w:name w:val="正文文本11"/>
    <w:basedOn w:val="849"/>
    <w:next w:val="843"/>
    <w:uiPriority w:val="0"/>
    <w:qFormat/>
    <w:pPr>
      <w:spacing w:after="120"/>
    </w:pPr>
  </w:style>
  <w:style w:type="paragraph" w:styleId="849" w:customStyle="1">
    <w:name w:val="正文112"/>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0" w:customStyle="1">
    <w:name w:val="正文首行缩进 21"/>
    <w:basedOn w:val="851"/>
    <w:next w:val="846"/>
    <w:uiPriority w:val="0"/>
    <w:qFormat/>
    <w:pPr>
      <w:ind w:firstLine="420"/>
    </w:pPr>
    <w:rPr>
      <w:rFonts w:ascii="宋体" w:hAnsi="宋体"/>
      <w:sz w:val="20"/>
      <w:szCs w:val="20"/>
    </w:rPr>
  </w:style>
  <w:style w:type="paragraph" w:styleId="851" w:customStyle="1">
    <w:name w:val="正文文本缩进1"/>
    <w:basedOn w:val="842"/>
    <w:next w:val="852"/>
    <w:uiPriority w:val="99"/>
    <w:unhideWhenUsed/>
    <w:qFormat/>
    <w:pPr>
      <w:ind w:firstLine="425"/>
      <w:spacing w:line="360" w:lineRule="auto"/>
    </w:pPr>
  </w:style>
  <w:style w:type="paragraph" w:styleId="852" w:customStyle="1">
    <w:name w:val="寄信人地址1"/>
    <w:basedOn w:val="843"/>
    <w:uiPriority w:val="99"/>
    <w:unhideWhenUsed/>
    <w:qFormat/>
    <w:rPr>
      <w:rFonts w:ascii="Arial" w:hAnsi="Arial"/>
    </w:rPr>
  </w:style>
  <w:style w:type="paragraph" w:styleId="853" w:customStyle="1">
    <w:name w:val="正文首行缩进 211"/>
    <w:basedOn w:val="854"/>
    <w:uiPriority w:val="0"/>
    <w:qFormat/>
    <w:pPr>
      <w:ind w:firstLine="200"/>
    </w:pPr>
  </w:style>
  <w:style w:type="paragraph" w:styleId="854" w:customStyle="1">
    <w:name w:val="正文文本缩进11"/>
    <w:basedOn w:val="846"/>
    <w:next w:val="855"/>
    <w:uiPriority w:val="0"/>
    <w:unhideWhenUsed/>
    <w:qFormat/>
    <w:pPr>
      <w:ind w:left="420"/>
      <w:spacing w:after="120"/>
    </w:pPr>
    <w:rPr>
      <w:sz w:val="24"/>
    </w:rPr>
  </w:style>
  <w:style w:type="paragraph" w:styleId="855" w:customStyle="1">
    <w:name w:val="寄信人地址11"/>
    <w:basedOn w:val="843"/>
    <w:uiPriority w:val="0"/>
    <w:qFormat/>
    <w:rPr>
      <w:rFonts w:ascii="Arial" w:hAnsi="Arial"/>
    </w:rPr>
  </w:style>
  <w:style w:type="paragraph" w:styleId="856" w:customStyle="1">
    <w:name w:val="标题 21"/>
    <w:basedOn w:val="798"/>
    <w:next w:val="843"/>
    <w:link w:val="941"/>
    <w:uiPriority w:val="9"/>
    <w:qFormat/>
    <w:pPr>
      <w:keepLines/>
      <w:keepNext/>
      <w:spacing w:before="360" w:after="200"/>
      <w:outlineLvl w:val="1"/>
    </w:pPr>
    <w:rPr>
      <w:rFonts w:ascii="Arial" w:hAnsi="Arial" w:eastAsia="Arial" w:cs="Arial"/>
      <w:sz w:val="34"/>
    </w:rPr>
  </w:style>
  <w:style w:type="paragraph" w:styleId="857" w:customStyle="1">
    <w:name w:val="段"/>
    <w:basedOn w:val="858"/>
    <w:next w:val="842"/>
    <w:uiPriority w:val="0"/>
    <w:qFormat/>
    <w:pPr>
      <w:ind w:firstLine="200"/>
      <w:widowControl/>
    </w:pPr>
    <w:rPr>
      <w:rFonts w:hint="eastAsia" w:ascii="宋体"/>
      <w:sz w:val="20"/>
      <w:szCs w:val="20"/>
    </w:rPr>
  </w:style>
  <w:style w:type="paragraph" w:styleId="858" w:customStyle="1">
    <w:name w:val="正文13"/>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9" w:customStyle="1">
    <w:name w:val="正文文本 21"/>
    <w:basedOn w:val="843"/>
    <w:uiPriority w:val="0"/>
    <w:qFormat/>
    <w:pPr>
      <w:spacing w:after="120" w:line="480" w:lineRule="auto"/>
    </w:pPr>
  </w:style>
  <w:style w:type="paragraph" w:styleId="860" w:customStyle="1">
    <w:name w:val="正文1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标题 211"/>
    <w:basedOn w:val="843"/>
    <w:next w:val="860"/>
    <w:uiPriority w:val="9"/>
    <w:unhideWhenUsed/>
    <w:qFormat/>
    <w:pPr>
      <w:keepLines/>
      <w:keepNext/>
      <w:spacing w:before="360" w:after="200"/>
      <w:outlineLvl w:val="1"/>
    </w:pPr>
    <w:rPr>
      <w:rFonts w:ascii="Arial" w:hAnsi="Arial" w:eastAsia="Arial" w:cs="Arial"/>
      <w:sz w:val="34"/>
    </w:rPr>
  </w:style>
  <w:style w:type="paragraph" w:styleId="862" w:customStyle="1">
    <w:name w:val="正文12"/>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3" w:customStyle="1">
    <w:name w:val="列出段落1"/>
    <w:basedOn w:val="864"/>
    <w:next w:val="865"/>
    <w:uiPriority w:val="0"/>
    <w:qFormat/>
    <w:pPr>
      <w:ind w:left="480"/>
      <w:jc w:val="left"/>
    </w:pPr>
    <w:rPr>
      <w:rFonts w:eastAsia="PMingLiU"/>
      <w:sz w:val="24"/>
      <w:szCs w:val="20"/>
      <w:lang w:eastAsia="zh-TW"/>
    </w:rPr>
  </w:style>
  <w:style w:type="paragraph" w:styleId="864"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标题 71"/>
    <w:basedOn w:val="860"/>
    <w:next w:val="849"/>
    <w:link w:val="948"/>
    <w:uiPriority w:val="9"/>
    <w:qFormat/>
    <w:pPr>
      <w:keepLines/>
      <w:keepNext/>
      <w:spacing w:before="320" w:after="200"/>
      <w:outlineLvl w:val="6"/>
    </w:pPr>
    <w:rPr>
      <w:rFonts w:ascii="Arial" w:hAnsi="Arial" w:eastAsia="Arial" w:cs="Arial"/>
      <w:b/>
      <w:bCs/>
      <w:i/>
      <w:iCs/>
      <w:sz w:val="22"/>
      <w:szCs w:val="22"/>
    </w:rPr>
  </w:style>
  <w:style w:type="paragraph" w:styleId="866" w:customStyle="1">
    <w:name w:val="无间隔1"/>
    <w:uiPriority w:val="0"/>
    <w:qFormat/>
    <w:rPr>
      <w:rFonts w:hint="default" w:ascii="Times New Roman" w:hAnsi="Times New Roman" w:eastAsia="宋体" w:cs="Times New Roman"/>
      <w:sz w:val="22"/>
      <w:szCs w:val="22"/>
      <w:lang w:val="en-US" w:eastAsia="en-US" w:bidi="ar-SA"/>
    </w:rPr>
  </w:style>
  <w:style w:type="paragraph" w:styleId="867" w:customStyle="1">
    <w:name w:val="正文缩进1"/>
    <w:basedOn w:val="798"/>
    <w:uiPriority w:val="0"/>
    <w:qFormat/>
    <w:pPr>
      <w:ind w:firstLine="420"/>
    </w:pPr>
  </w:style>
  <w:style w:type="paragraph" w:styleId="868" w:customStyle="1">
    <w:name w:val="文本块1"/>
    <w:basedOn w:val="842"/>
    <w:uiPriority w:val="6"/>
    <w:qFormat/>
    <w:pPr>
      <w:ind w:left="256" w:right="6" w:firstLine="624"/>
    </w:pPr>
    <w:rPr>
      <w:rFonts w:eastAsia="仿宋"/>
      <w:sz w:val="28"/>
      <w:szCs w:val="20"/>
    </w:rPr>
  </w:style>
  <w:style w:type="paragraph" w:styleId="869" w:customStyle="1">
    <w:name w:val="标题 41"/>
    <w:basedOn w:val="862"/>
    <w:next w:val="84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70" w:customStyle="1">
    <w:name w:val="标题1"/>
    <w:basedOn w:val="798"/>
    <w:next w:val="849"/>
    <w:link w:val="977"/>
    <w:uiPriority w:val="10"/>
    <w:qFormat/>
    <w:pPr>
      <w:contextualSpacing/>
      <w:spacing w:before="300" w:after="200"/>
    </w:pPr>
    <w:rPr>
      <w:sz w:val="48"/>
      <w:szCs w:val="48"/>
    </w:rPr>
  </w:style>
  <w:style w:type="paragraph" w:styleId="871" w:customStyle="1">
    <w:name w:val="页脚1"/>
    <w:basedOn w:val="798"/>
    <w:uiPriority w:val="0"/>
    <w:qFormat/>
    <w:pPr>
      <w:jc w:val="left"/>
      <w:tabs>
        <w:tab w:val="center" w:pos="4153" w:leader="none"/>
        <w:tab w:val="right" w:pos="8306" w:leader="none"/>
      </w:tabs>
    </w:pPr>
    <w:rPr>
      <w:sz w:val="18"/>
      <w:szCs w:val="18"/>
    </w:rPr>
  </w:style>
  <w:style w:type="paragraph" w:styleId="872" w:customStyle="1">
    <w:name w:val="文本块11"/>
    <w:basedOn w:val="798"/>
    <w:uiPriority w:val="0"/>
    <w:unhideWhenUsed/>
    <w:qFormat/>
    <w:pPr>
      <w:ind w:left="1440" w:right="1440"/>
      <w:spacing w:after="120"/>
    </w:pPr>
    <w:rPr>
      <w:rFonts w:ascii="Calibri" w:hAnsi="Calibri"/>
    </w:rPr>
  </w:style>
  <w:style w:type="paragraph" w:styleId="873" w:customStyle="1">
    <w:name w:val="目录 111"/>
    <w:basedOn w:val="862"/>
    <w:next w:val="798"/>
    <w:uiPriority w:val="39"/>
    <w:unhideWhenUsed/>
    <w:qFormat/>
    <w:pPr>
      <w:spacing w:after="57"/>
    </w:pPr>
  </w:style>
  <w:style w:type="paragraph" w:styleId="874" w:customStyle="1">
    <w:name w:val="正文文本111"/>
    <w:basedOn w:val="798"/>
    <w:next w:val="862"/>
    <w:uiPriority w:val="0"/>
    <w:qFormat/>
    <w:rPr>
      <w:rFonts w:ascii="楷体_GB2312" w:hAnsi="Arial" w:eastAsia="楷体_GB2312"/>
      <w:sz w:val="28"/>
      <w:szCs w:val="28"/>
      <w:lang w:eastAsia="en-US"/>
    </w:rPr>
  </w:style>
  <w:style w:type="paragraph" w:styleId="875" w:customStyle="1">
    <w:name w:val="目录 11"/>
    <w:basedOn w:val="862"/>
    <w:next w:val="842"/>
    <w:uiPriority w:val="0"/>
    <w:qFormat/>
    <w:pPr>
      <w:jc w:val="left"/>
      <w:spacing w:after="100" w:line="259" w:lineRule="auto"/>
      <w:widowControl/>
    </w:pPr>
    <w:rPr>
      <w:rFonts w:ascii="Calibri" w:hAnsi="Calibri"/>
      <w:sz w:val="22"/>
      <w:szCs w:val="22"/>
    </w:rPr>
  </w:style>
  <w:style w:type="paragraph" w:styleId="876" w:customStyle="1">
    <w:name w:val="索引 41"/>
    <w:basedOn w:val="858"/>
    <w:next w:val="842"/>
    <w:uiPriority w:val="0"/>
    <w:qFormat/>
    <w:pPr>
      <w:ind w:left="600" w:firstLine="200"/>
      <w:spacing w:line="274" w:lineRule="auto"/>
    </w:pPr>
    <w:rPr>
      <w:rFonts w:ascii="Calibri" w:hAnsi="Calibri" w:eastAsia="仿宋_GB2312"/>
      <w:sz w:val="24"/>
    </w:rPr>
  </w:style>
  <w:style w:type="paragraph" w:styleId="877" w:customStyle="1">
    <w:name w:val="标题 111"/>
    <w:basedOn w:val="798"/>
    <w:next w:val="843"/>
    <w:uiPriority w:val="9"/>
    <w:qFormat/>
    <w:pPr>
      <w:keepLines/>
      <w:keepNext/>
      <w:spacing w:before="480" w:after="200"/>
      <w:outlineLvl w:val="0"/>
    </w:pPr>
    <w:rPr>
      <w:rFonts w:ascii="Arial" w:hAnsi="Arial" w:eastAsia="Arial" w:cs="Arial"/>
      <w:sz w:val="40"/>
      <w:szCs w:val="40"/>
    </w:rPr>
  </w:style>
  <w:style w:type="paragraph" w:styleId="878" w:customStyle="1">
    <w:name w:val="标题 311"/>
    <w:basedOn w:val="798"/>
    <w:next w:val="798"/>
    <w:uiPriority w:val="9"/>
    <w:unhideWhenUsed/>
    <w:qFormat/>
    <w:pPr>
      <w:keepLines/>
      <w:keepNext/>
      <w:spacing w:before="320" w:after="200"/>
      <w:outlineLvl w:val="2"/>
    </w:pPr>
    <w:rPr>
      <w:rFonts w:ascii="Arial" w:hAnsi="Arial" w:eastAsia="Arial" w:cs="Arial"/>
      <w:sz w:val="30"/>
      <w:szCs w:val="30"/>
    </w:rPr>
  </w:style>
  <w:style w:type="paragraph" w:styleId="879" w:customStyle="1">
    <w:name w:val="标题 411"/>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80" w:customStyle="1">
    <w:name w:val="标题 511"/>
    <w:basedOn w:val="798"/>
    <w:next w:val="798"/>
    <w:uiPriority w:val="9"/>
    <w:unhideWhenUsed/>
    <w:qFormat/>
    <w:pPr>
      <w:keepLines/>
      <w:keepNext/>
      <w:spacing w:before="320" w:after="200"/>
      <w:outlineLvl w:val="4"/>
    </w:pPr>
    <w:rPr>
      <w:rFonts w:ascii="Arial" w:hAnsi="Arial" w:eastAsia="Arial" w:cs="Arial"/>
      <w:b/>
      <w:bCs/>
      <w:sz w:val="24"/>
    </w:rPr>
  </w:style>
  <w:style w:type="paragraph" w:styleId="881" w:customStyle="1">
    <w:name w:val="标题 611"/>
    <w:basedOn w:val="798"/>
    <w:next w:val="798"/>
    <w:uiPriority w:val="9"/>
    <w:unhideWhenUsed/>
    <w:qFormat/>
    <w:pPr>
      <w:keepLines/>
      <w:keepNext/>
      <w:spacing w:before="320" w:after="200"/>
      <w:outlineLvl w:val="5"/>
    </w:pPr>
    <w:rPr>
      <w:rFonts w:ascii="Arial" w:hAnsi="Arial" w:eastAsia="Arial" w:cs="Arial"/>
      <w:b/>
      <w:bCs/>
      <w:sz w:val="22"/>
      <w:szCs w:val="22"/>
    </w:rPr>
  </w:style>
  <w:style w:type="paragraph" w:styleId="882" w:customStyle="1">
    <w:name w:val="标题 711"/>
    <w:basedOn w:val="798"/>
    <w:next w:val="798"/>
    <w:uiPriority w:val="9"/>
    <w:unhideWhenUsed/>
    <w:qFormat/>
    <w:pPr>
      <w:keepLines/>
      <w:keepNext/>
      <w:spacing w:before="320" w:after="200"/>
      <w:outlineLvl w:val="6"/>
    </w:pPr>
    <w:rPr>
      <w:rFonts w:ascii="Arial" w:hAnsi="Arial" w:eastAsia="Arial" w:cs="Arial"/>
      <w:b/>
      <w:bCs/>
      <w:i/>
      <w:iCs/>
      <w:sz w:val="22"/>
      <w:szCs w:val="22"/>
    </w:rPr>
  </w:style>
  <w:style w:type="paragraph" w:styleId="883" w:customStyle="1">
    <w:name w:val="标题 811"/>
    <w:basedOn w:val="798"/>
    <w:next w:val="798"/>
    <w:uiPriority w:val="9"/>
    <w:unhideWhenUsed/>
    <w:qFormat/>
    <w:pPr>
      <w:keepLines/>
      <w:keepNext/>
      <w:spacing w:before="320" w:after="200"/>
      <w:outlineLvl w:val="7"/>
    </w:pPr>
    <w:rPr>
      <w:rFonts w:ascii="Arial" w:hAnsi="Arial" w:eastAsia="Arial" w:cs="Arial"/>
      <w:i/>
      <w:iCs/>
      <w:sz w:val="22"/>
      <w:szCs w:val="22"/>
    </w:rPr>
  </w:style>
  <w:style w:type="paragraph" w:styleId="884" w:customStyle="1">
    <w:name w:val="标题 911"/>
    <w:basedOn w:val="798"/>
    <w:next w:val="798"/>
    <w:uiPriority w:val="9"/>
    <w:unhideWhenUsed/>
    <w:qFormat/>
    <w:pPr>
      <w:keepLines/>
      <w:keepNext/>
      <w:spacing w:before="320" w:after="200"/>
      <w:outlineLvl w:val="8"/>
    </w:pPr>
    <w:rPr>
      <w:rFonts w:ascii="Arial" w:hAnsi="Arial" w:eastAsia="Arial" w:cs="Arial"/>
      <w:i/>
      <w:iCs/>
      <w:szCs w:val="21"/>
    </w:rPr>
  </w:style>
  <w:style w:type="character" w:styleId="885" w:customStyle="1">
    <w:name w:val="默认段落字体11"/>
    <w:link w:val="798"/>
    <w:uiPriority w:val="1"/>
    <w:unhideWhenUsed/>
    <w:qFormat/>
  </w:style>
  <w:style w:type="table" w:styleId="886" w:customStyle="1">
    <w:name w:val="普通表格11"/>
    <w:uiPriority w:val="99"/>
    <w:unhideWhenUsed/>
    <w:qFormat/>
    <w:tblPr/>
  </w:style>
  <w:style w:type="paragraph" w:styleId="887" w:customStyle="1">
    <w:name w:val="信息标题1"/>
    <w:basedOn w:val="798"/>
    <w:next w:val="88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88" w:customStyle="1">
    <w:name w:val="正文文本12"/>
    <w:basedOn w:val="798"/>
    <w:next w:val="798"/>
    <w:uiPriority w:val="99"/>
    <w:qFormat/>
    <w:pPr>
      <w:spacing w:after="120"/>
    </w:pPr>
  </w:style>
  <w:style w:type="paragraph" w:styleId="889" w:customStyle="1">
    <w:name w:val="目录 711"/>
    <w:basedOn w:val="798"/>
    <w:next w:val="798"/>
    <w:uiPriority w:val="39"/>
    <w:unhideWhenUsed/>
    <w:qFormat/>
    <w:pPr>
      <w:ind w:left="1701"/>
      <w:spacing w:after="57"/>
    </w:pPr>
  </w:style>
  <w:style w:type="paragraph" w:styleId="890" w:customStyle="1">
    <w:name w:val="题注11"/>
    <w:basedOn w:val="798"/>
    <w:next w:val="798"/>
    <w:uiPriority w:val="35"/>
    <w:unhideWhenUsed/>
    <w:qFormat/>
    <w:pPr>
      <w:spacing w:line="276" w:lineRule="auto"/>
    </w:pPr>
    <w:rPr>
      <w:b/>
      <w:bCs/>
      <w:color w:val="4f81bd"/>
      <w:sz w:val="18"/>
      <w:szCs w:val="18"/>
    </w:rPr>
  </w:style>
  <w:style w:type="paragraph" w:styleId="891" w:customStyle="1">
    <w:name w:val="批注文字11"/>
    <w:basedOn w:val="798"/>
    <w:uiPriority w:val="0"/>
    <w:qFormat/>
    <w:pPr>
      <w:jc w:val="left"/>
    </w:pPr>
  </w:style>
  <w:style w:type="paragraph" w:styleId="892" w:customStyle="1">
    <w:name w:val="文本块12"/>
    <w:basedOn w:val="798"/>
    <w:uiPriority w:val="6"/>
    <w:qFormat/>
    <w:pPr>
      <w:ind w:left="256" w:right="6" w:firstLine="624"/>
    </w:pPr>
    <w:rPr>
      <w:rFonts w:eastAsia="仿宋"/>
      <w:sz w:val="28"/>
    </w:rPr>
  </w:style>
  <w:style w:type="paragraph" w:styleId="893" w:customStyle="1">
    <w:name w:val="目录 511"/>
    <w:basedOn w:val="798"/>
    <w:next w:val="798"/>
    <w:uiPriority w:val="39"/>
    <w:unhideWhenUsed/>
    <w:qFormat/>
    <w:pPr>
      <w:ind w:left="1134"/>
      <w:spacing w:after="57"/>
    </w:pPr>
  </w:style>
  <w:style w:type="paragraph" w:styleId="894" w:customStyle="1">
    <w:name w:val="目录 311"/>
    <w:basedOn w:val="798"/>
    <w:next w:val="798"/>
    <w:uiPriority w:val="39"/>
    <w:unhideWhenUsed/>
    <w:qFormat/>
    <w:pPr>
      <w:ind w:left="567"/>
      <w:spacing w:after="57"/>
    </w:pPr>
  </w:style>
  <w:style w:type="paragraph" w:styleId="895" w:customStyle="1">
    <w:name w:val="目录 811"/>
    <w:basedOn w:val="798"/>
    <w:next w:val="798"/>
    <w:uiPriority w:val="39"/>
    <w:unhideWhenUsed/>
    <w:qFormat/>
    <w:pPr>
      <w:ind w:left="1984"/>
      <w:spacing w:after="57"/>
    </w:pPr>
  </w:style>
  <w:style w:type="paragraph" w:styleId="896" w:customStyle="1">
    <w:name w:val="尾注文本11"/>
    <w:basedOn w:val="798"/>
    <w:uiPriority w:val="99"/>
    <w:unhideWhenUsed/>
    <w:qFormat/>
    <w:rPr>
      <w:sz w:val="20"/>
    </w:rPr>
  </w:style>
  <w:style w:type="paragraph" w:styleId="897" w:customStyle="1">
    <w:name w:val="页脚11"/>
    <w:basedOn w:val="798"/>
    <w:uiPriority w:val="99"/>
    <w:unhideWhenUsed/>
    <w:qFormat/>
    <w:pPr>
      <w:tabs>
        <w:tab w:val="center" w:pos="7143" w:leader="none"/>
        <w:tab w:val="right" w:pos="14287" w:leader="none"/>
      </w:tabs>
    </w:pPr>
  </w:style>
  <w:style w:type="paragraph" w:styleId="898" w:customStyle="1">
    <w:name w:val="页眉11"/>
    <w:basedOn w:val="798"/>
    <w:uiPriority w:val="99"/>
    <w:unhideWhenUsed/>
    <w:qFormat/>
    <w:pPr>
      <w:tabs>
        <w:tab w:val="center" w:pos="7143" w:leader="none"/>
        <w:tab w:val="right" w:pos="14287" w:leader="none"/>
      </w:tabs>
    </w:pPr>
  </w:style>
  <w:style w:type="paragraph" w:styleId="899" w:customStyle="1">
    <w:name w:val="目录 1111"/>
    <w:basedOn w:val="798"/>
    <w:next w:val="798"/>
    <w:uiPriority w:val="39"/>
    <w:unhideWhenUsed/>
    <w:qFormat/>
    <w:pPr>
      <w:spacing w:after="57"/>
    </w:pPr>
  </w:style>
  <w:style w:type="paragraph" w:styleId="900" w:customStyle="1">
    <w:name w:val="目录 411"/>
    <w:basedOn w:val="798"/>
    <w:next w:val="798"/>
    <w:uiPriority w:val="39"/>
    <w:unhideWhenUsed/>
    <w:qFormat/>
    <w:pPr>
      <w:ind w:left="850"/>
      <w:spacing w:after="57"/>
    </w:pPr>
  </w:style>
  <w:style w:type="paragraph" w:styleId="901" w:customStyle="1">
    <w:name w:val="副标题11"/>
    <w:basedOn w:val="798"/>
    <w:next w:val="798"/>
    <w:uiPriority w:val="11"/>
    <w:qFormat/>
    <w:pPr>
      <w:spacing w:before="200" w:after="200"/>
    </w:pPr>
    <w:rPr>
      <w:sz w:val="24"/>
    </w:rPr>
  </w:style>
  <w:style w:type="paragraph" w:styleId="902" w:customStyle="1">
    <w:name w:val="脚注文本11"/>
    <w:basedOn w:val="798"/>
    <w:next w:val="903"/>
    <w:uiPriority w:val="99"/>
    <w:unhideWhenUsed/>
    <w:qFormat/>
    <w:pPr>
      <w:spacing w:after="40"/>
    </w:pPr>
    <w:rPr>
      <w:sz w:val="18"/>
    </w:rPr>
  </w:style>
  <w:style w:type="paragraph" w:styleId="903" w:customStyle="1">
    <w:name w:val="索引 51"/>
    <w:basedOn w:val="904"/>
    <w:next w:val="842"/>
    <w:uiPriority w:val="0"/>
    <w:qFormat/>
    <w:pPr>
      <w:ind w:left="798"/>
      <w:jc w:val="left"/>
    </w:pPr>
    <w:rPr>
      <w:rFonts w:ascii="Calibri" w:hAnsi="Calibri"/>
    </w:rPr>
  </w:style>
  <w:style w:type="paragraph" w:styleId="904" w:customStyle="1">
    <w:name w:val="脚注文本1"/>
    <w:basedOn w:val="842"/>
    <w:next w:val="845"/>
    <w:uiPriority w:val="0"/>
    <w:qFormat/>
    <w:rPr>
      <w:rFonts w:ascii="宋体" w:eastAsia="Times New Roman"/>
      <w:sz w:val="18"/>
      <w:szCs w:val="18"/>
    </w:rPr>
  </w:style>
  <w:style w:type="paragraph" w:styleId="905" w:customStyle="1">
    <w:name w:val="目录 611"/>
    <w:basedOn w:val="798"/>
    <w:next w:val="798"/>
    <w:uiPriority w:val="39"/>
    <w:unhideWhenUsed/>
    <w:qFormat/>
    <w:pPr>
      <w:ind w:left="1417"/>
      <w:spacing w:after="57"/>
    </w:pPr>
  </w:style>
  <w:style w:type="paragraph" w:styleId="906" w:customStyle="1">
    <w:name w:val="图表目录11"/>
    <w:basedOn w:val="798"/>
    <w:next w:val="798"/>
    <w:uiPriority w:val="99"/>
    <w:unhideWhenUsed/>
    <w:qFormat/>
  </w:style>
  <w:style w:type="paragraph" w:styleId="907" w:customStyle="1">
    <w:name w:val="目录 211"/>
    <w:basedOn w:val="798"/>
    <w:next w:val="798"/>
    <w:uiPriority w:val="39"/>
    <w:unhideWhenUsed/>
    <w:qFormat/>
    <w:pPr>
      <w:ind w:left="283"/>
      <w:spacing w:after="57"/>
    </w:pPr>
  </w:style>
  <w:style w:type="paragraph" w:styleId="908" w:customStyle="1">
    <w:name w:val="目录 911"/>
    <w:basedOn w:val="798"/>
    <w:next w:val="798"/>
    <w:uiPriority w:val="39"/>
    <w:unhideWhenUsed/>
    <w:qFormat/>
    <w:pPr>
      <w:ind w:left="2268"/>
      <w:spacing w:after="57"/>
    </w:pPr>
  </w:style>
  <w:style w:type="paragraph" w:styleId="909" w:customStyle="1">
    <w:name w:val="普通(网站)12"/>
    <w:basedOn w:val="798"/>
    <w:uiPriority w:val="99"/>
    <w:qFormat/>
    <w:pPr>
      <w:jc w:val="left"/>
      <w:spacing w:before="100" w:beforeAutospacing="1" w:after="100" w:afterAutospacing="1"/>
      <w:widowControl/>
    </w:pPr>
    <w:rPr>
      <w:rFonts w:ascii="宋体" w:hAnsi="宋体" w:cs="宋体"/>
      <w:sz w:val="24"/>
    </w:rPr>
  </w:style>
  <w:style w:type="paragraph" w:styleId="910" w:customStyle="1">
    <w:name w:val="标题11"/>
    <w:basedOn w:val="798"/>
    <w:next w:val="798"/>
    <w:uiPriority w:val="10"/>
    <w:qFormat/>
    <w:pPr>
      <w:contextualSpacing/>
      <w:spacing w:before="300" w:after="200"/>
    </w:pPr>
    <w:rPr>
      <w:sz w:val="48"/>
      <w:szCs w:val="48"/>
    </w:rPr>
  </w:style>
  <w:style w:type="table" w:styleId="911" w:customStyle="1">
    <w:name w:val="网格型11"/>
    <w:uiPriority w:val="59"/>
    <w:qFormat/>
    <w:tblPr/>
  </w:style>
  <w:style w:type="character" w:styleId="912" w:customStyle="1">
    <w:name w:val="要点1"/>
    <w:link w:val="798"/>
    <w:uiPriority w:val="0"/>
    <w:qFormat/>
    <w:rPr>
      <w:b/>
    </w:rPr>
  </w:style>
  <w:style w:type="character" w:styleId="913" w:customStyle="1">
    <w:name w:val="尾注引用11"/>
    <w:link w:val="798"/>
    <w:uiPriority w:val="99"/>
    <w:unhideWhenUsed/>
    <w:qFormat/>
    <w:rPr>
      <w:vertAlign w:val="superscript"/>
    </w:rPr>
  </w:style>
  <w:style w:type="character" w:styleId="914" w:customStyle="1">
    <w:name w:val="超链接11"/>
    <w:basedOn w:val="885"/>
    <w:link w:val="798"/>
    <w:uiPriority w:val="99"/>
    <w:unhideWhenUsed/>
    <w:qFormat/>
    <w:rPr>
      <w:color w:val="0000ff"/>
      <w:u w:val="single"/>
    </w:rPr>
  </w:style>
  <w:style w:type="character" w:styleId="915" w:customStyle="1">
    <w:name w:val="脚注引用11"/>
    <w:link w:val="798"/>
    <w:uiPriority w:val="99"/>
    <w:unhideWhenUsed/>
    <w:qFormat/>
    <w:rPr>
      <w:vertAlign w:val="superscript"/>
    </w:rPr>
  </w:style>
  <w:style w:type="table" w:styleId="916" w:customStyle="1">
    <w:name w:val="Plain Table 1"/>
    <w:basedOn w:val="886"/>
    <w:uiPriority w:val="59"/>
    <w:qFormat/>
    <w:pPr>
      <w:spacing w:after="0" w:line="240" w:lineRule="auto"/>
    </w:pPr>
    <w:tblPr/>
  </w:style>
  <w:style w:type="table" w:styleId="917" w:customStyle="1">
    <w:name w:val="Plain Table 2"/>
    <w:basedOn w:val="886"/>
    <w:uiPriority w:val="59"/>
    <w:qFormat/>
    <w:pPr>
      <w:spacing w:after="0" w:line="240" w:lineRule="auto"/>
    </w:pPr>
    <w:tblPr/>
  </w:style>
  <w:style w:type="table" w:styleId="918" w:customStyle="1">
    <w:name w:val="Plain Table 3"/>
    <w:basedOn w:val="886"/>
    <w:uiPriority w:val="99"/>
    <w:qFormat/>
    <w:pPr>
      <w:spacing w:after="0" w:line="240" w:lineRule="auto"/>
    </w:pPr>
    <w:tblPr/>
  </w:style>
  <w:style w:type="table" w:styleId="919" w:customStyle="1">
    <w:name w:val="Plain Table 4"/>
    <w:basedOn w:val="886"/>
    <w:uiPriority w:val="99"/>
    <w:qFormat/>
    <w:pPr>
      <w:spacing w:after="0" w:line="240" w:lineRule="auto"/>
    </w:pPr>
    <w:tblPr/>
  </w:style>
  <w:style w:type="table" w:styleId="920" w:customStyle="1">
    <w:name w:val="Plain Table 5"/>
    <w:basedOn w:val="886"/>
    <w:uiPriority w:val="99"/>
    <w:qFormat/>
    <w:pPr>
      <w:spacing w:after="0" w:line="240" w:lineRule="auto"/>
    </w:pPr>
    <w:tblPr/>
  </w:style>
  <w:style w:type="table" w:styleId="921" w:customStyle="1">
    <w:name w:val="Grid Table 1 Light"/>
    <w:basedOn w:val="886"/>
    <w:uiPriority w:val="99"/>
    <w:qFormat/>
    <w:pPr>
      <w:spacing w:after="0" w:line="240" w:lineRule="auto"/>
    </w:pPr>
    <w:tblPr/>
  </w:style>
  <w:style w:type="table" w:styleId="922" w:customStyle="1">
    <w:name w:val="Grid Table 2"/>
    <w:basedOn w:val="886"/>
    <w:uiPriority w:val="99"/>
    <w:qFormat/>
    <w:pPr>
      <w:spacing w:after="0" w:line="240" w:lineRule="auto"/>
    </w:pPr>
    <w:tblPr/>
  </w:style>
  <w:style w:type="table" w:styleId="923" w:customStyle="1">
    <w:name w:val="Grid Table 3"/>
    <w:basedOn w:val="886"/>
    <w:uiPriority w:val="99"/>
    <w:qFormat/>
    <w:pPr>
      <w:spacing w:after="0" w:line="240" w:lineRule="auto"/>
    </w:pPr>
    <w:tblPr/>
  </w:style>
  <w:style w:type="table" w:styleId="924" w:customStyle="1">
    <w:name w:val="Grid Table 4"/>
    <w:basedOn w:val="886"/>
    <w:uiPriority w:val="59"/>
    <w:qFormat/>
    <w:pPr>
      <w:spacing w:after="0" w:line="240" w:lineRule="auto"/>
    </w:pPr>
    <w:tblPr/>
  </w:style>
  <w:style w:type="table" w:styleId="925" w:customStyle="1">
    <w:name w:val="Grid Table 5 Dark"/>
    <w:basedOn w:val="886"/>
    <w:uiPriority w:val="99"/>
    <w:qFormat/>
    <w:pPr>
      <w:spacing w:after="0" w:line="240" w:lineRule="auto"/>
    </w:pPr>
    <w:tblPr/>
  </w:style>
  <w:style w:type="table" w:styleId="926" w:customStyle="1">
    <w:name w:val="Grid Table 6 Colorful"/>
    <w:basedOn w:val="886"/>
    <w:uiPriority w:val="99"/>
    <w:qFormat/>
    <w:pPr>
      <w:spacing w:after="0" w:line="240" w:lineRule="auto"/>
    </w:pPr>
    <w:tblPr/>
  </w:style>
  <w:style w:type="table" w:styleId="927" w:customStyle="1">
    <w:name w:val="Grid Table 7 Colorful"/>
    <w:basedOn w:val="886"/>
    <w:uiPriority w:val="99"/>
    <w:qFormat/>
    <w:pPr>
      <w:spacing w:after="0" w:line="240" w:lineRule="auto"/>
    </w:pPr>
    <w:tblPr/>
  </w:style>
  <w:style w:type="table" w:styleId="928" w:customStyle="1">
    <w:name w:val="List Table 1 Light"/>
    <w:basedOn w:val="886"/>
    <w:uiPriority w:val="99"/>
    <w:qFormat/>
    <w:pPr>
      <w:spacing w:after="0" w:line="240" w:lineRule="auto"/>
    </w:pPr>
    <w:tblPr/>
  </w:style>
  <w:style w:type="table" w:styleId="929" w:customStyle="1">
    <w:name w:val="List Table 2"/>
    <w:basedOn w:val="886"/>
    <w:uiPriority w:val="99"/>
    <w:qFormat/>
    <w:pPr>
      <w:spacing w:after="0" w:line="240" w:lineRule="auto"/>
    </w:pPr>
    <w:tblPr/>
  </w:style>
  <w:style w:type="table" w:styleId="930" w:customStyle="1">
    <w:name w:val="List Table 3"/>
    <w:basedOn w:val="886"/>
    <w:uiPriority w:val="99"/>
    <w:qFormat/>
    <w:pPr>
      <w:spacing w:after="0" w:line="240" w:lineRule="auto"/>
    </w:pPr>
    <w:tblPr/>
  </w:style>
  <w:style w:type="table" w:styleId="931" w:customStyle="1">
    <w:name w:val="List Table 4"/>
    <w:basedOn w:val="886"/>
    <w:uiPriority w:val="99"/>
    <w:qFormat/>
    <w:pPr>
      <w:spacing w:after="0" w:line="240" w:lineRule="auto"/>
    </w:pPr>
    <w:tblPr/>
  </w:style>
  <w:style w:type="table" w:styleId="932" w:customStyle="1">
    <w:name w:val="List Table 5 Dark"/>
    <w:basedOn w:val="886"/>
    <w:uiPriority w:val="99"/>
    <w:qFormat/>
    <w:pPr>
      <w:spacing w:after="0" w:line="240" w:lineRule="auto"/>
    </w:pPr>
    <w:tblPr/>
  </w:style>
  <w:style w:type="table" w:styleId="933" w:customStyle="1">
    <w:name w:val="List Table 6 Colorful"/>
    <w:basedOn w:val="886"/>
    <w:uiPriority w:val="99"/>
    <w:qFormat/>
    <w:pPr>
      <w:spacing w:after="0" w:line="240" w:lineRule="auto"/>
    </w:pPr>
    <w:tblPr/>
  </w:style>
  <w:style w:type="table" w:styleId="934" w:customStyle="1">
    <w:name w:val="List Table 7 Colorful"/>
    <w:basedOn w:val="886"/>
    <w:uiPriority w:val="99"/>
    <w:qFormat/>
    <w:pPr>
      <w:spacing w:after="0" w:line="240" w:lineRule="auto"/>
    </w:pPr>
    <w:tblPr/>
  </w:style>
  <w:style w:type="paragraph" w:styleId="935" w:customStyle="1">
    <w:name w:val="TOC Heading"/>
    <w:uiPriority w:val="39"/>
    <w:unhideWhenUsed/>
    <w:qFormat/>
    <w:rPr>
      <w:rFonts w:hint="default" w:ascii="Times New Roman" w:hAnsi="Times New Roman" w:eastAsia="宋体" w:cs="Times New Roman"/>
    </w:rPr>
  </w:style>
  <w:style w:type="paragraph" w:styleId="936">
    <w:name w:val="List Paragraph"/>
    <w:basedOn w:val="798"/>
    <w:uiPriority w:val="34"/>
    <w:qFormat/>
    <w:pPr>
      <w:contextualSpacing/>
      <w:ind w:left="720"/>
    </w:pPr>
  </w:style>
  <w:style w:type="paragraph" w:styleId="937">
    <w:name w:val="No Spacing"/>
    <w:uiPriority w:val="1"/>
    <w:qFormat/>
    <w:rPr>
      <w:rFonts w:hint="default" w:ascii="Times New Roman" w:hAnsi="Times New Roman" w:eastAsia="宋体" w:cs="Times New Roman"/>
      <w:lang w:val="en-US" w:eastAsia="zh-CN" w:bidi="ar-SA"/>
    </w:rPr>
  </w:style>
  <w:style w:type="paragraph" w:styleId="938">
    <w:name w:val="Quote"/>
    <w:basedOn w:val="798"/>
    <w:next w:val="798"/>
    <w:uiPriority w:val="29"/>
    <w:qFormat/>
    <w:pPr>
      <w:ind w:left="720" w:right="720"/>
    </w:pPr>
    <w:rPr>
      <w:i/>
    </w:rPr>
  </w:style>
  <w:style w:type="paragraph" w:styleId="939">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0" w:customStyle="1">
    <w:name w:val="标题 11"/>
    <w:basedOn w:val="798"/>
    <w:next w:val="798"/>
    <w:uiPriority w:val="0"/>
    <w:qFormat/>
    <w:pPr>
      <w:keepLines/>
      <w:keepNext/>
      <w:spacing w:before="340" w:after="330" w:line="578" w:lineRule="auto"/>
      <w:outlineLvl w:val="0"/>
    </w:pPr>
    <w:rPr>
      <w:b/>
      <w:bCs/>
      <w:sz w:val="44"/>
      <w:szCs w:val="44"/>
    </w:rPr>
  </w:style>
  <w:style w:type="character" w:styleId="941" w:customStyle="1">
    <w:name w:val="标题 2 Char"/>
    <w:link w:val="856"/>
    <w:uiPriority w:val="9"/>
    <w:qFormat/>
    <w:rPr>
      <w:rFonts w:ascii="Arial" w:hAnsi="Arial" w:eastAsia="Arial" w:cs="Arial"/>
      <w:sz w:val="34"/>
    </w:rPr>
  </w:style>
  <w:style w:type="paragraph" w:styleId="942" w:customStyle="1">
    <w:name w:val="标题 31"/>
    <w:basedOn w:val="798"/>
    <w:next w:val="798"/>
    <w:link w:val="943"/>
    <w:uiPriority w:val="9"/>
    <w:qFormat/>
    <w:pPr>
      <w:keepLines/>
      <w:keepNext/>
      <w:spacing w:before="320" w:after="200"/>
      <w:outlineLvl w:val="2"/>
    </w:pPr>
    <w:rPr>
      <w:rFonts w:ascii="Arial" w:hAnsi="Arial" w:eastAsia="Arial" w:cs="Arial"/>
      <w:sz w:val="30"/>
      <w:szCs w:val="30"/>
    </w:rPr>
  </w:style>
  <w:style w:type="character" w:styleId="943" w:customStyle="1">
    <w:name w:val="标题 3 Char"/>
    <w:link w:val="942"/>
    <w:uiPriority w:val="9"/>
    <w:qFormat/>
    <w:rPr>
      <w:rFonts w:ascii="Arial" w:hAnsi="Arial" w:eastAsia="Arial" w:cs="Arial"/>
      <w:sz w:val="30"/>
      <w:szCs w:val="30"/>
    </w:rPr>
  </w:style>
  <w:style w:type="paragraph" w:styleId="944" w:customStyle="1">
    <w:name w:val="标题 51"/>
    <w:basedOn w:val="798"/>
    <w:next w:val="798"/>
    <w:link w:val="945"/>
    <w:uiPriority w:val="9"/>
    <w:qFormat/>
    <w:pPr>
      <w:keepLines/>
      <w:keepNext/>
      <w:spacing w:before="320" w:after="200"/>
      <w:outlineLvl w:val="4"/>
    </w:pPr>
    <w:rPr>
      <w:rFonts w:ascii="Arial" w:hAnsi="Arial" w:eastAsia="Arial" w:cs="Arial"/>
      <w:b/>
      <w:bCs/>
      <w:sz w:val="24"/>
    </w:rPr>
  </w:style>
  <w:style w:type="character" w:styleId="945" w:customStyle="1">
    <w:name w:val="标题 5 Char"/>
    <w:link w:val="944"/>
    <w:uiPriority w:val="9"/>
    <w:qFormat/>
    <w:rPr>
      <w:rFonts w:ascii="Arial" w:hAnsi="Arial" w:eastAsia="Arial" w:cs="Arial"/>
      <w:b/>
      <w:bCs/>
      <w:sz w:val="24"/>
      <w:szCs w:val="24"/>
    </w:rPr>
  </w:style>
  <w:style w:type="paragraph" w:styleId="946" w:customStyle="1">
    <w:name w:val="标题 61"/>
    <w:basedOn w:val="798"/>
    <w:next w:val="798"/>
    <w:link w:val="947"/>
    <w:uiPriority w:val="9"/>
    <w:qFormat/>
    <w:pPr>
      <w:keepLines/>
      <w:keepNext/>
      <w:spacing w:before="320" w:after="200"/>
      <w:outlineLvl w:val="5"/>
    </w:pPr>
    <w:rPr>
      <w:rFonts w:ascii="Arial" w:hAnsi="Arial" w:eastAsia="Arial" w:cs="Arial"/>
      <w:b/>
      <w:bCs/>
      <w:sz w:val="22"/>
      <w:szCs w:val="22"/>
    </w:rPr>
  </w:style>
  <w:style w:type="character" w:styleId="947" w:customStyle="1">
    <w:name w:val="标题 6 Char"/>
    <w:link w:val="946"/>
    <w:uiPriority w:val="9"/>
    <w:qFormat/>
    <w:rPr>
      <w:rFonts w:ascii="Arial" w:hAnsi="Arial" w:eastAsia="Arial" w:cs="Arial"/>
      <w:b/>
      <w:bCs/>
      <w:sz w:val="22"/>
      <w:szCs w:val="22"/>
    </w:rPr>
  </w:style>
  <w:style w:type="character" w:styleId="948" w:customStyle="1">
    <w:name w:val="标题 7 Char"/>
    <w:link w:val="865"/>
    <w:uiPriority w:val="9"/>
    <w:qFormat/>
    <w:rPr>
      <w:rFonts w:ascii="Arial" w:hAnsi="Arial" w:eastAsia="Arial" w:cs="Arial"/>
      <w:b/>
      <w:bCs/>
      <w:i/>
      <w:iCs/>
      <w:sz w:val="22"/>
      <w:szCs w:val="22"/>
    </w:rPr>
  </w:style>
  <w:style w:type="paragraph" w:styleId="949" w:customStyle="1">
    <w:name w:val="标题 81"/>
    <w:basedOn w:val="798"/>
    <w:next w:val="798"/>
    <w:link w:val="950"/>
    <w:uiPriority w:val="9"/>
    <w:qFormat/>
    <w:pPr>
      <w:keepLines/>
      <w:keepNext/>
      <w:spacing w:before="320" w:after="200"/>
      <w:outlineLvl w:val="7"/>
    </w:pPr>
    <w:rPr>
      <w:rFonts w:ascii="Arial" w:hAnsi="Arial" w:eastAsia="Arial" w:cs="Arial"/>
      <w:i/>
      <w:iCs/>
      <w:sz w:val="22"/>
      <w:szCs w:val="22"/>
    </w:rPr>
  </w:style>
  <w:style w:type="character" w:styleId="950" w:customStyle="1">
    <w:name w:val="标题 8 Char"/>
    <w:link w:val="949"/>
    <w:uiPriority w:val="9"/>
    <w:qFormat/>
    <w:rPr>
      <w:rFonts w:ascii="Arial" w:hAnsi="Arial" w:eastAsia="Arial" w:cs="Arial"/>
      <w:i/>
      <w:iCs/>
      <w:sz w:val="22"/>
      <w:szCs w:val="22"/>
    </w:rPr>
  </w:style>
  <w:style w:type="paragraph" w:styleId="951" w:customStyle="1">
    <w:name w:val="标题 91"/>
    <w:basedOn w:val="798"/>
    <w:next w:val="798"/>
    <w:link w:val="952"/>
    <w:uiPriority w:val="9"/>
    <w:qFormat/>
    <w:pPr>
      <w:keepLines/>
      <w:keepNext/>
      <w:spacing w:before="320" w:after="200"/>
      <w:outlineLvl w:val="8"/>
    </w:pPr>
    <w:rPr>
      <w:rFonts w:ascii="Arial" w:hAnsi="Arial" w:eastAsia="Arial" w:cs="Arial"/>
      <w:i/>
      <w:iCs/>
      <w:szCs w:val="21"/>
    </w:rPr>
  </w:style>
  <w:style w:type="character" w:styleId="952" w:customStyle="1">
    <w:name w:val="标题 9 Char"/>
    <w:link w:val="951"/>
    <w:uiPriority w:val="9"/>
    <w:qFormat/>
    <w:rPr>
      <w:rFonts w:ascii="Arial" w:hAnsi="Arial" w:eastAsia="Arial" w:cs="Arial"/>
      <w:i/>
      <w:iCs/>
      <w:sz w:val="21"/>
      <w:szCs w:val="21"/>
    </w:rPr>
  </w:style>
  <w:style w:type="character" w:styleId="953" w:customStyle="1">
    <w:name w:val="默认段落字体1"/>
    <w:link w:val="798"/>
    <w:uiPriority w:val="1"/>
    <w:unhideWhenUsed/>
    <w:qFormat/>
  </w:style>
  <w:style w:type="table" w:styleId="954" w:customStyle="1">
    <w:name w:val="普通表格1"/>
    <w:uiPriority w:val="99"/>
    <w:unhideWhenUsed/>
    <w:qFormat/>
    <w:tblPr/>
  </w:style>
  <w:style w:type="paragraph" w:styleId="955" w:customStyle="1">
    <w:name w:val="目录 71"/>
    <w:basedOn w:val="798"/>
    <w:next w:val="798"/>
    <w:uiPriority w:val="39"/>
    <w:unhideWhenUsed/>
    <w:qFormat/>
    <w:pPr>
      <w:ind w:left="1701"/>
      <w:spacing w:after="57"/>
    </w:pPr>
  </w:style>
  <w:style w:type="paragraph" w:styleId="956" w:customStyle="1">
    <w:name w:val="题注1"/>
    <w:basedOn w:val="798"/>
    <w:next w:val="798"/>
    <w:uiPriority w:val="35"/>
    <w:qFormat/>
    <w:pPr>
      <w:spacing w:line="276" w:lineRule="auto"/>
    </w:pPr>
    <w:rPr>
      <w:b/>
      <w:bCs/>
      <w:color w:val="4f81bd"/>
      <w:sz w:val="18"/>
      <w:szCs w:val="18"/>
    </w:rPr>
  </w:style>
  <w:style w:type="paragraph" w:styleId="957" w:customStyle="1">
    <w:name w:val="批注文字1"/>
    <w:basedOn w:val="798"/>
    <w:uiPriority w:val="0"/>
    <w:qFormat/>
    <w:pPr>
      <w:jc w:val="left"/>
    </w:pPr>
  </w:style>
  <w:style w:type="paragraph" w:styleId="958" w:customStyle="1">
    <w:name w:val="目录 51"/>
    <w:basedOn w:val="798"/>
    <w:next w:val="798"/>
    <w:uiPriority w:val="39"/>
    <w:unhideWhenUsed/>
    <w:qFormat/>
    <w:pPr>
      <w:ind w:left="1134"/>
      <w:spacing w:after="57"/>
    </w:pPr>
  </w:style>
  <w:style w:type="paragraph" w:styleId="959" w:customStyle="1">
    <w:name w:val="目录 31"/>
    <w:basedOn w:val="798"/>
    <w:next w:val="798"/>
    <w:uiPriority w:val="39"/>
    <w:unhideWhenUsed/>
    <w:qFormat/>
    <w:pPr>
      <w:ind w:left="567"/>
      <w:spacing w:after="57"/>
    </w:pPr>
  </w:style>
  <w:style w:type="paragraph" w:styleId="960" w:customStyle="1">
    <w:name w:val="纯文本1"/>
    <w:basedOn w:val="798"/>
    <w:uiPriority w:val="99"/>
    <w:unhideWhenUsed/>
    <w:qFormat/>
    <w:rPr>
      <w:rFonts w:ascii="宋体" w:hAnsi="Courier New"/>
      <w:sz w:val="20"/>
      <w:szCs w:val="20"/>
    </w:rPr>
  </w:style>
  <w:style w:type="paragraph" w:styleId="961" w:customStyle="1">
    <w:name w:val="目录 81"/>
    <w:basedOn w:val="798"/>
    <w:next w:val="798"/>
    <w:uiPriority w:val="39"/>
    <w:unhideWhenUsed/>
    <w:qFormat/>
    <w:pPr>
      <w:ind w:left="1984"/>
      <w:spacing w:after="57"/>
    </w:pPr>
  </w:style>
  <w:style w:type="paragraph" w:styleId="962" w:customStyle="1">
    <w:name w:val="日期1"/>
    <w:basedOn w:val="798"/>
    <w:next w:val="798"/>
    <w:uiPriority w:val="0"/>
    <w:qFormat/>
    <w:rPr>
      <w:rFonts w:eastAsia="仿宋_GB2312"/>
      <w:sz w:val="28"/>
      <w:szCs w:val="20"/>
    </w:rPr>
  </w:style>
  <w:style w:type="paragraph" w:styleId="963" w:customStyle="1">
    <w:name w:val="正文文本缩进 21"/>
    <w:basedOn w:val="798"/>
    <w:uiPriority w:val="0"/>
    <w:qFormat/>
    <w:pPr>
      <w:ind w:firstLine="475"/>
      <w:spacing w:line="10" w:lineRule="atLeast"/>
    </w:pPr>
    <w:rPr>
      <w:rFonts w:ascii="仿宋_GB2312" w:eastAsia="仿宋_GB2312"/>
      <w:sz w:val="24"/>
    </w:rPr>
  </w:style>
  <w:style w:type="paragraph" w:styleId="964" w:customStyle="1">
    <w:name w:val="尾注文本1"/>
    <w:basedOn w:val="798"/>
    <w:link w:val="965"/>
    <w:uiPriority w:val="99"/>
    <w:unhideWhenUsed/>
    <w:qFormat/>
    <w:rPr>
      <w:sz w:val="20"/>
    </w:rPr>
  </w:style>
  <w:style w:type="character" w:styleId="965" w:customStyle="1">
    <w:name w:val="尾注文本 Char"/>
    <w:link w:val="964"/>
    <w:uiPriority w:val="99"/>
    <w:qFormat/>
    <w:rPr>
      <w:sz w:val="20"/>
    </w:rPr>
  </w:style>
  <w:style w:type="paragraph" w:styleId="966" w:customStyle="1">
    <w:name w:val="批注框文本1"/>
    <w:basedOn w:val="798"/>
    <w:link w:val="967"/>
    <w:uiPriority w:val="99"/>
    <w:unhideWhenUsed/>
    <w:qFormat/>
    <w:rPr>
      <w:sz w:val="18"/>
      <w:szCs w:val="18"/>
    </w:rPr>
  </w:style>
  <w:style w:type="character" w:styleId="967" w:customStyle="1">
    <w:name w:val="批注框文本 Char"/>
    <w:link w:val="966"/>
    <w:uiPriority w:val="99"/>
    <w:semiHidden/>
    <w:qFormat/>
    <w:rPr>
      <w:rFonts w:ascii="Times New Roman" w:hAnsi="Times New Roman"/>
      <w:sz w:val="18"/>
      <w:szCs w:val="18"/>
    </w:rPr>
  </w:style>
  <w:style w:type="paragraph" w:styleId="968"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969" w:customStyle="1">
    <w:name w:val="目录 41"/>
    <w:basedOn w:val="798"/>
    <w:next w:val="798"/>
    <w:uiPriority w:val="39"/>
    <w:unhideWhenUsed/>
    <w:qFormat/>
    <w:pPr>
      <w:ind w:left="850"/>
      <w:spacing w:after="57"/>
    </w:pPr>
  </w:style>
  <w:style w:type="paragraph" w:styleId="970" w:customStyle="1">
    <w:name w:val="副标题1"/>
    <w:basedOn w:val="798"/>
    <w:next w:val="798"/>
    <w:link w:val="971"/>
    <w:uiPriority w:val="11"/>
    <w:qFormat/>
    <w:pPr>
      <w:spacing w:before="200" w:after="200"/>
    </w:pPr>
    <w:rPr>
      <w:sz w:val="24"/>
    </w:rPr>
  </w:style>
  <w:style w:type="character" w:styleId="971" w:customStyle="1">
    <w:name w:val="副标题 Char"/>
    <w:link w:val="970"/>
    <w:uiPriority w:val="11"/>
    <w:qFormat/>
    <w:rPr>
      <w:sz w:val="24"/>
      <w:szCs w:val="24"/>
    </w:rPr>
  </w:style>
  <w:style w:type="paragraph" w:styleId="972" w:customStyle="1">
    <w:name w:val="目录 61"/>
    <w:basedOn w:val="798"/>
    <w:next w:val="798"/>
    <w:uiPriority w:val="39"/>
    <w:unhideWhenUsed/>
    <w:qFormat/>
    <w:pPr>
      <w:ind w:left="1417"/>
      <w:spacing w:after="57"/>
    </w:pPr>
  </w:style>
  <w:style w:type="paragraph" w:styleId="973" w:customStyle="1">
    <w:name w:val="图表目录1"/>
    <w:basedOn w:val="798"/>
    <w:next w:val="798"/>
    <w:uiPriority w:val="99"/>
    <w:unhideWhenUsed/>
    <w:qFormat/>
  </w:style>
  <w:style w:type="paragraph" w:styleId="974" w:customStyle="1">
    <w:name w:val="目录 21"/>
    <w:basedOn w:val="798"/>
    <w:next w:val="798"/>
    <w:uiPriority w:val="39"/>
    <w:unhideWhenUsed/>
    <w:qFormat/>
    <w:pPr>
      <w:ind w:left="283"/>
      <w:spacing w:after="57"/>
    </w:pPr>
  </w:style>
  <w:style w:type="paragraph" w:styleId="975" w:customStyle="1">
    <w:name w:val="目录 91"/>
    <w:basedOn w:val="798"/>
    <w:next w:val="798"/>
    <w:uiPriority w:val="39"/>
    <w:unhideWhenUsed/>
    <w:qFormat/>
    <w:pPr>
      <w:ind w:left="2268"/>
      <w:spacing w:after="57"/>
    </w:pPr>
  </w:style>
  <w:style w:type="paragraph" w:styleId="976" w:customStyle="1">
    <w:name w:val="普通(网站)11"/>
    <w:basedOn w:val="798"/>
    <w:uiPriority w:val="0"/>
    <w:qFormat/>
    <w:pPr>
      <w:jc w:val="left"/>
      <w:spacing w:before="100" w:beforeAutospacing="1" w:after="100" w:afterAutospacing="1"/>
      <w:widowControl/>
    </w:pPr>
    <w:rPr>
      <w:rFonts w:ascii="宋体" w:hAnsi="宋体" w:cs="宋体"/>
      <w:sz w:val="24"/>
    </w:rPr>
  </w:style>
  <w:style w:type="character" w:styleId="977" w:customStyle="1">
    <w:name w:val="标题 Char"/>
    <w:link w:val="870"/>
    <w:uiPriority w:val="10"/>
    <w:qFormat/>
    <w:rPr>
      <w:sz w:val="48"/>
      <w:szCs w:val="48"/>
    </w:rPr>
  </w:style>
  <w:style w:type="table" w:styleId="978" w:customStyle="1">
    <w:name w:val="网格型1"/>
    <w:basedOn w:val="954"/>
    <w:uiPriority w:val="0"/>
    <w:qFormat/>
    <w:pPr>
      <w:jc w:val="both"/>
      <w:widowControl w:val="off"/>
    </w:pPr>
    <w:tblPr/>
  </w:style>
  <w:style w:type="character" w:styleId="979" w:customStyle="1">
    <w:name w:val="尾注引用1"/>
    <w:link w:val="798"/>
    <w:uiPriority w:val="99"/>
    <w:unhideWhenUsed/>
    <w:qFormat/>
    <w:rPr>
      <w:vertAlign w:val="superscript"/>
    </w:rPr>
  </w:style>
  <w:style w:type="character" w:styleId="980" w:customStyle="1">
    <w:name w:val="页码1"/>
    <w:link w:val="798"/>
    <w:uiPriority w:val="0"/>
    <w:qFormat/>
  </w:style>
  <w:style w:type="character" w:styleId="981" w:customStyle="1">
    <w:name w:val="已访问的超链接1"/>
    <w:link w:val="798"/>
    <w:uiPriority w:val="99"/>
    <w:unhideWhenUsed/>
    <w:qFormat/>
    <w:rPr>
      <w:color w:val="333333"/>
      <w:u w:val="none"/>
    </w:rPr>
  </w:style>
  <w:style w:type="character" w:styleId="982" w:customStyle="1">
    <w:name w:val="超链接1"/>
    <w:link w:val="798"/>
    <w:uiPriority w:val="0"/>
    <w:qFormat/>
    <w:rPr>
      <w:color w:val="0000ff"/>
      <w:u w:val="single"/>
    </w:rPr>
  </w:style>
  <w:style w:type="character" w:styleId="983" w:customStyle="1">
    <w:name w:val="批注引用1"/>
    <w:link w:val="798"/>
    <w:uiPriority w:val="0"/>
    <w:qFormat/>
    <w:rPr>
      <w:sz w:val="21"/>
      <w:szCs w:val="21"/>
    </w:rPr>
  </w:style>
  <w:style w:type="character" w:styleId="984" w:customStyle="1">
    <w:name w:val="脚注引用1"/>
    <w:link w:val="798"/>
    <w:uiPriority w:val="99"/>
    <w:unhideWhenUsed/>
    <w:qFormat/>
    <w:rPr>
      <w:vertAlign w:val="superscript"/>
    </w:rPr>
  </w:style>
  <w:style w:type="character" w:styleId="985" w:customStyle="1">
    <w:name w:val="Heading 1 Char"/>
    <w:link w:val="798"/>
    <w:uiPriority w:val="9"/>
    <w:qFormat/>
    <w:rPr>
      <w:rFonts w:ascii="Arial" w:hAnsi="Arial" w:eastAsia="Arial" w:cs="Arial"/>
      <w:sz w:val="40"/>
      <w:szCs w:val="40"/>
    </w:rPr>
  </w:style>
  <w:style w:type="character" w:styleId="986" w:customStyle="1">
    <w:name w:val="Endnote Text Char"/>
    <w:link w:val="798"/>
    <w:uiPriority w:val="99"/>
    <w:qFormat/>
    <w:rPr>
      <w:sz w:val="20"/>
    </w:rPr>
  </w:style>
  <w:style w:type="character" w:styleId="987" w:customStyle="1">
    <w:name w:val="Header Char"/>
    <w:link w:val="798"/>
    <w:uiPriority w:val="99"/>
    <w:qFormat/>
  </w:style>
  <w:style w:type="character" w:styleId="988" w:customStyle="1">
    <w:name w:val="Heading 6 Char"/>
    <w:link w:val="798"/>
    <w:uiPriority w:val="9"/>
    <w:qFormat/>
    <w:rPr>
      <w:rFonts w:ascii="Arial" w:hAnsi="Arial" w:eastAsia="Arial" w:cs="Arial"/>
      <w:b/>
      <w:bCs/>
      <w:sz w:val="22"/>
      <w:szCs w:val="22"/>
    </w:rPr>
  </w:style>
  <w:style w:type="character" w:styleId="989" w:customStyle="1">
    <w:name w:val="Heading 2 Char"/>
    <w:link w:val="798"/>
    <w:uiPriority w:val="9"/>
    <w:qFormat/>
    <w:rPr>
      <w:rFonts w:ascii="Arial" w:hAnsi="Arial" w:eastAsia="Arial" w:cs="Arial"/>
      <w:sz w:val="34"/>
    </w:rPr>
  </w:style>
  <w:style w:type="character" w:styleId="990" w:customStyle="1">
    <w:name w:val="Heading 4 Char"/>
    <w:link w:val="798"/>
    <w:uiPriority w:val="9"/>
    <w:qFormat/>
    <w:rPr>
      <w:rFonts w:ascii="Arial" w:hAnsi="Arial" w:eastAsia="Arial" w:cs="Arial"/>
      <w:b/>
      <w:bCs/>
      <w:sz w:val="26"/>
      <w:szCs w:val="26"/>
    </w:rPr>
  </w:style>
  <w:style w:type="character" w:styleId="991" w:customStyle="1">
    <w:name w:val="Subtitle Char"/>
    <w:link w:val="798"/>
    <w:uiPriority w:val="11"/>
    <w:qFormat/>
    <w:rPr>
      <w:sz w:val="24"/>
      <w:szCs w:val="24"/>
    </w:rPr>
  </w:style>
  <w:style w:type="character" w:styleId="992" w:customStyle="1">
    <w:name w:val="明显引用 Char"/>
    <w:link w:val="993"/>
    <w:uiPriority w:val="30"/>
    <w:qFormat/>
    <w:rPr>
      <w:i/>
    </w:rPr>
  </w:style>
  <w:style w:type="paragraph" w:styleId="993" w:customStyle="1">
    <w:name w:val="明显引用1"/>
    <w:basedOn w:val="798"/>
    <w:next w:val="798"/>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customStyle="1">
    <w:name w:val="Heading 8 Char"/>
    <w:link w:val="798"/>
    <w:uiPriority w:val="9"/>
    <w:qFormat/>
    <w:rPr>
      <w:rFonts w:ascii="Arial" w:hAnsi="Arial" w:eastAsia="Arial" w:cs="Arial"/>
      <w:i/>
      <w:iCs/>
      <w:sz w:val="22"/>
      <w:szCs w:val="22"/>
    </w:rPr>
  </w:style>
  <w:style w:type="character" w:styleId="995" w:customStyle="1">
    <w:name w:val="引用 Char"/>
    <w:link w:val="996"/>
    <w:uiPriority w:val="29"/>
    <w:qFormat/>
    <w:rPr>
      <w:i/>
    </w:rPr>
  </w:style>
  <w:style w:type="paragraph" w:styleId="996" w:customStyle="1">
    <w:name w:val="引用1"/>
    <w:basedOn w:val="798"/>
    <w:next w:val="798"/>
    <w:link w:val="995"/>
    <w:uiPriority w:val="29"/>
    <w:qFormat/>
    <w:pPr>
      <w:ind w:left="720" w:right="720"/>
    </w:pPr>
    <w:rPr>
      <w:i/>
    </w:rPr>
  </w:style>
  <w:style w:type="character" w:styleId="997" w:customStyle="1">
    <w:name w:val="Footnote Text Char"/>
    <w:link w:val="798"/>
    <w:uiPriority w:val="99"/>
    <w:qFormat/>
    <w:rPr>
      <w:sz w:val="18"/>
    </w:rPr>
  </w:style>
  <w:style w:type="character" w:styleId="998" w:customStyle="1">
    <w:name w:val="Heading 5 Char"/>
    <w:link w:val="798"/>
    <w:uiPriority w:val="9"/>
    <w:qFormat/>
    <w:rPr>
      <w:rFonts w:ascii="Arial" w:hAnsi="Arial" w:eastAsia="Arial" w:cs="Arial"/>
      <w:b/>
      <w:bCs/>
      <w:sz w:val="24"/>
      <w:szCs w:val="24"/>
    </w:rPr>
  </w:style>
  <w:style w:type="character" w:styleId="999" w:customStyle="1">
    <w:name w:val="Intense Quote Char"/>
    <w:link w:val="798"/>
    <w:uiPriority w:val="30"/>
    <w:qFormat/>
    <w:rPr>
      <w:i/>
    </w:rPr>
  </w:style>
  <w:style w:type="character" w:styleId="1000" w:customStyle="1">
    <w:name w:val="Heading 3 Char"/>
    <w:link w:val="798"/>
    <w:uiPriority w:val="9"/>
    <w:qFormat/>
    <w:rPr>
      <w:rFonts w:ascii="Arial" w:hAnsi="Arial" w:eastAsia="Arial" w:cs="Arial"/>
      <w:sz w:val="30"/>
      <w:szCs w:val="30"/>
    </w:rPr>
  </w:style>
  <w:style w:type="character" w:styleId="1001" w:customStyle="1">
    <w:name w:val="Caption Char"/>
    <w:link w:val="798"/>
    <w:uiPriority w:val="99"/>
    <w:qFormat/>
  </w:style>
  <w:style w:type="character" w:styleId="1002" w:customStyle="1">
    <w:name w:val="Footer Char"/>
    <w:link w:val="798"/>
    <w:uiPriority w:val="99"/>
    <w:qFormat/>
  </w:style>
  <w:style w:type="character" w:styleId="1003" w:customStyle="1">
    <w:name w:val="Quote Char"/>
    <w:link w:val="798"/>
    <w:uiPriority w:val="29"/>
    <w:qFormat/>
    <w:rPr>
      <w:i/>
    </w:rPr>
  </w:style>
  <w:style w:type="character" w:styleId="1004" w:customStyle="1">
    <w:name w:val="Title Char"/>
    <w:link w:val="798"/>
    <w:uiPriority w:val="10"/>
    <w:qFormat/>
    <w:rPr>
      <w:sz w:val="48"/>
      <w:szCs w:val="48"/>
    </w:rPr>
  </w:style>
  <w:style w:type="character" w:styleId="1005" w:customStyle="1">
    <w:name w:val="Heading 9 Char"/>
    <w:link w:val="798"/>
    <w:uiPriority w:val="9"/>
    <w:qFormat/>
    <w:rPr>
      <w:rFonts w:ascii="Arial" w:hAnsi="Arial" w:eastAsia="Arial" w:cs="Arial"/>
      <w:i/>
      <w:iCs/>
      <w:sz w:val="21"/>
      <w:szCs w:val="21"/>
    </w:rPr>
  </w:style>
  <w:style w:type="character" w:styleId="1006" w:customStyle="1">
    <w:name w:val="Heading 7 Char"/>
    <w:link w:val="798"/>
    <w:uiPriority w:val="9"/>
    <w:qFormat/>
    <w:rPr>
      <w:rFonts w:ascii="Arial" w:hAnsi="Arial" w:eastAsia="Arial" w:cs="Arial"/>
      <w:b/>
      <w:bCs/>
      <w:i/>
      <w:iCs/>
      <w:sz w:val="22"/>
      <w:szCs w:val="22"/>
    </w:rPr>
  </w:style>
  <w:style w:type="paragraph" w:styleId="1007" w:customStyle="1">
    <w:name w:val="TOC 标题1"/>
    <w:uiPriority w:val="39"/>
    <w:unhideWhenUsed/>
    <w:qFormat/>
    <w:rPr>
      <w:rFonts w:hint="default" w:ascii="Times New Roman" w:hAnsi="Times New Roman" w:eastAsia="宋体" w:cs="Times New Roman"/>
      <w:lang w:val="en-US" w:eastAsia="zh-CN" w:bidi="ar-SA"/>
    </w:rPr>
  </w:style>
  <w:style w:type="paragraph" w:styleId="1008" w:customStyle="1">
    <w:name w:val="DAS正文"/>
    <w:basedOn w:val="798"/>
    <w:uiPriority w:val="0"/>
    <w:qFormat/>
    <w:pPr>
      <w:ind w:right="181" w:firstLine="480"/>
      <w:spacing w:line="360" w:lineRule="auto"/>
    </w:pPr>
    <w:rPr>
      <w:rFonts w:ascii="Verdana" w:hAnsi="Verdana"/>
      <w:sz w:val="24"/>
    </w:rPr>
  </w:style>
  <w:style w:type="paragraph" w:styleId="1009" w:customStyle="1">
    <w:name w:val="UserStyle_0"/>
    <w:basedOn w:val="798"/>
    <w:next w:val="798"/>
    <w:uiPriority w:val="0"/>
    <w:qFormat/>
  </w:style>
  <w:style w:type="paragraph" w:styleId="1010" w:customStyle="1">
    <w:name w:val="列出段落"/>
    <w:basedOn w:val="798"/>
    <w:uiPriority w:val="34"/>
    <w:qFormat/>
    <w:pPr>
      <w:contextualSpacing/>
      <w:ind w:left="720"/>
    </w:pPr>
  </w:style>
  <w:style w:type="paragraph" w:styleId="1011" w:customStyle="1">
    <w:name w:val="TOC 标题11"/>
    <w:uiPriority w:val="39"/>
    <w:unhideWhenUsed/>
    <w:qFormat/>
    <w:rPr>
      <w:rFonts w:hint="default" w:ascii="Times New Roman" w:hAnsi="Times New Roman" w:eastAsia="宋体" w:cs="Times New Roman"/>
      <w:lang w:val="en-US" w:eastAsia="zh-CN" w:bidi="ar-SA"/>
    </w:rPr>
  </w:style>
  <w:style w:type="paragraph" w:styleId="1012" w:customStyle="1">
    <w:name w:val="普通(网站)1"/>
    <w:basedOn w:val="843"/>
    <w:uiPriority w:val="0"/>
    <w:qFormat/>
    <w:pPr>
      <w:jc w:val="left"/>
      <w:spacing w:before="100" w:beforeAutospacing="1" w:after="100" w:afterAutospacing="1"/>
      <w:widowControl/>
    </w:pPr>
    <w:rPr>
      <w:rFonts w:ascii="宋体" w:hAnsi="宋体"/>
      <w:sz w:val="24"/>
    </w:rPr>
  </w:style>
  <w:style w:type="paragraph" w:styleId="1013" w:customStyle="1">
    <w:name w:val="默认段落字体 Para Char Char Char Char Char Char Char"/>
    <w:basedOn w:val="798"/>
    <w:uiPriority w:val="0"/>
    <w:qFormat/>
    <w:rPr>
      <w:rFonts w:ascii="Tahoma" w:hAnsi="Tahoma"/>
      <w:sz w:val="24"/>
      <w:szCs w:val="20"/>
    </w:rPr>
  </w:style>
  <w:style w:type="paragraph" w:styleId="1014" w:customStyle="1">
    <w:name w:val="普通正文"/>
    <w:basedOn w:val="798"/>
    <w:uiPriority w:val="0"/>
    <w:qFormat/>
    <w:pPr>
      <w:ind w:firstLine="480"/>
      <w:jc w:val="left"/>
      <w:spacing w:before="120" w:after="120" w:line="360" w:lineRule="auto"/>
    </w:pPr>
    <w:rPr>
      <w:rFonts w:ascii="Arial" w:hAnsi="Arial"/>
      <w:sz w:val="24"/>
    </w:rPr>
  </w:style>
  <w:style w:type="paragraph" w:styleId="1015" w:customStyle="1">
    <w:name w:val="Char"/>
    <w:basedOn w:val="798"/>
    <w:uiPriority w:val="0"/>
    <w:qFormat/>
    <w:pPr>
      <w:tabs>
        <w:tab w:val="left" w:pos="360" w:leader="none"/>
      </w:tabs>
    </w:pPr>
    <w:rPr>
      <w:sz w:val="24"/>
    </w:rPr>
  </w:style>
  <w:style w:type="paragraph" w:styleId="1016" w:customStyle="1">
    <w:name w:val="_HT_正文"/>
    <w:basedOn w:val="798"/>
    <w:uiPriority w:val="0"/>
    <w:qFormat/>
    <w:pPr>
      <w:ind w:firstLine="200"/>
      <w:spacing w:line="360" w:lineRule="auto"/>
    </w:pPr>
    <w:rPr>
      <w:sz w:val="24"/>
    </w:rPr>
  </w:style>
  <w:style w:type="paragraph" w:styleId="1017" w:customStyle="1">
    <w:name w:val="p0"/>
    <w:basedOn w:val="798"/>
    <w:uiPriority w:val="0"/>
    <w:qFormat/>
    <w:pPr>
      <w:widowControl/>
    </w:pPr>
    <w:rPr>
      <w:szCs w:val="21"/>
    </w:rPr>
  </w:style>
  <w:style w:type="paragraph" w:styleId="1018" w:customStyle="1">
    <w:name w:val="无间隔2"/>
    <w:uiPriority w:val="1"/>
    <w:qFormat/>
    <w:rPr>
      <w:rFonts w:hint="default" w:ascii="Times New Roman" w:hAnsi="Times New Roman" w:eastAsia="宋体" w:cs="Times New Roman"/>
      <w:lang w:val="en-US" w:eastAsia="zh-CN" w:bidi="ar-SA"/>
    </w:rPr>
  </w:style>
  <w:style w:type="paragraph" w:styleId="1019"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0" w:customStyle="1">
    <w:name w:val="投标文件正文"/>
    <w:basedOn w:val="798"/>
    <w:uiPriority w:val="0"/>
    <w:qFormat/>
    <w:pPr>
      <w:ind w:firstLine="200"/>
      <w:spacing w:before="40" w:after="40" w:line="400" w:lineRule="exact"/>
    </w:pPr>
    <w:rPr>
      <w:sz w:val="24"/>
    </w:rPr>
  </w:style>
  <w:style w:type="table" w:styleId="1021" w:customStyle="1">
    <w:name w:val="List Table 5 Dark - Accent 6"/>
    <w:basedOn w:val="954"/>
    <w:uiPriority w:val="99"/>
    <w:qFormat/>
    <w:tblPr/>
  </w:style>
  <w:style w:type="table" w:styleId="1022" w:customStyle="1">
    <w:name w:val="Grid Table 1 Light - Accent 3"/>
    <w:basedOn w:val="954"/>
    <w:uiPriority w:val="99"/>
    <w:qFormat/>
    <w:tblPr/>
  </w:style>
  <w:style w:type="table" w:styleId="1023" w:customStyle="1">
    <w:name w:val="Grid Table 1 Light - Accent 2"/>
    <w:basedOn w:val="954"/>
    <w:uiPriority w:val="99"/>
    <w:qFormat/>
    <w:tblPr/>
  </w:style>
  <w:style w:type="table" w:styleId="1024" w:customStyle="1">
    <w:name w:val="List Table 3 - Accent 3"/>
    <w:basedOn w:val="954"/>
    <w:uiPriority w:val="99"/>
    <w:qFormat/>
    <w:tblPr/>
  </w:style>
  <w:style w:type="table" w:styleId="1025" w:customStyle="1">
    <w:name w:val="Grid Table 2 - Accent 1"/>
    <w:basedOn w:val="954"/>
    <w:uiPriority w:val="99"/>
    <w:qFormat/>
    <w:tblPr/>
  </w:style>
  <w:style w:type="table" w:styleId="1026" w:customStyle="1">
    <w:name w:val="Bordered - Accent 4"/>
    <w:basedOn w:val="954"/>
    <w:uiPriority w:val="99"/>
    <w:qFormat/>
    <w:tblPr/>
  </w:style>
  <w:style w:type="table" w:styleId="1027" w:customStyle="1">
    <w:name w:val="Grid Table 1 Light - Accent 5"/>
    <w:basedOn w:val="954"/>
    <w:uiPriority w:val="99"/>
    <w:qFormat/>
    <w:tblPr/>
  </w:style>
  <w:style w:type="table" w:styleId="1028" w:customStyle="1">
    <w:name w:val="Grid Table 2 - Accent 5"/>
    <w:basedOn w:val="954"/>
    <w:uiPriority w:val="99"/>
    <w:qFormat/>
    <w:tblPr/>
  </w:style>
  <w:style w:type="table" w:styleId="1029" w:customStyle="1">
    <w:name w:val="List Table 4 - Accent 2"/>
    <w:basedOn w:val="954"/>
    <w:uiPriority w:val="99"/>
    <w:qFormat/>
    <w:tblPr/>
  </w:style>
  <w:style w:type="table" w:styleId="1030" w:customStyle="1">
    <w:name w:val="Grid Table 5 Dark - Accent 2"/>
    <w:basedOn w:val="954"/>
    <w:uiPriority w:val="99"/>
    <w:qFormat/>
    <w:tblPr/>
  </w:style>
  <w:style w:type="table" w:styleId="1031" w:customStyle="1">
    <w:name w:val="清单表 1 浅色1"/>
    <w:basedOn w:val="954"/>
    <w:uiPriority w:val="99"/>
    <w:qFormat/>
    <w:tblPr/>
  </w:style>
  <w:style w:type="table" w:styleId="1032" w:customStyle="1">
    <w:name w:val="List Table 2 - Accent 1"/>
    <w:basedOn w:val="954"/>
    <w:uiPriority w:val="99"/>
    <w:qFormat/>
    <w:tblPr/>
  </w:style>
  <w:style w:type="table" w:styleId="1033" w:customStyle="1">
    <w:name w:val="List Table 6 Colorful - Accent 1"/>
    <w:basedOn w:val="954"/>
    <w:uiPriority w:val="99"/>
    <w:qFormat/>
    <w:tblPr/>
  </w:style>
  <w:style w:type="table" w:styleId="1034" w:customStyle="1">
    <w:name w:val="Grid Table 1 Light - Accent 1"/>
    <w:basedOn w:val="954"/>
    <w:uiPriority w:val="99"/>
    <w:qFormat/>
    <w:tblPr/>
  </w:style>
  <w:style w:type="table" w:styleId="1035" w:customStyle="1">
    <w:name w:val="Grid Table 3 - Accent 3"/>
    <w:basedOn w:val="954"/>
    <w:uiPriority w:val="99"/>
    <w:qFormat/>
    <w:tblPr/>
  </w:style>
  <w:style w:type="table" w:styleId="1036" w:customStyle="1">
    <w:name w:val="Bordered &amp; Lined - Accent 4"/>
    <w:basedOn w:val="954"/>
    <w:uiPriority w:val="99"/>
    <w:qFormat/>
    <w:rPr>
      <w:color w:val="404040"/>
    </w:rPr>
    <w:tblPr/>
  </w:style>
  <w:style w:type="table" w:styleId="1037" w:customStyle="1">
    <w:name w:val="List Table 2 - Accent 2"/>
    <w:basedOn w:val="954"/>
    <w:uiPriority w:val="99"/>
    <w:qFormat/>
    <w:tblPr/>
  </w:style>
  <w:style w:type="table" w:styleId="1038" w:customStyle="1">
    <w:name w:val="清单表 5 深色1"/>
    <w:basedOn w:val="954"/>
    <w:uiPriority w:val="99"/>
    <w:qFormat/>
    <w:tblPr/>
  </w:style>
  <w:style w:type="table" w:styleId="1039" w:customStyle="1">
    <w:name w:val="Lined - Accent 5"/>
    <w:basedOn w:val="954"/>
    <w:uiPriority w:val="99"/>
    <w:qFormat/>
    <w:rPr>
      <w:color w:val="404040"/>
    </w:rPr>
    <w:tblPr/>
  </w:style>
  <w:style w:type="table" w:styleId="1040" w:customStyle="1">
    <w:name w:val="Bordered - Accent 6"/>
    <w:basedOn w:val="954"/>
    <w:uiPriority w:val="99"/>
    <w:qFormat/>
    <w:tblPr/>
  </w:style>
  <w:style w:type="table" w:styleId="1041" w:customStyle="1">
    <w:name w:val="清单表 6 彩色1"/>
    <w:basedOn w:val="954"/>
    <w:uiPriority w:val="99"/>
    <w:qFormat/>
    <w:tblPr/>
  </w:style>
  <w:style w:type="table" w:styleId="1042" w:customStyle="1">
    <w:name w:val="Grid Table 5 Dark- Accent 1"/>
    <w:basedOn w:val="954"/>
    <w:uiPriority w:val="99"/>
    <w:qFormat/>
    <w:tblPr/>
  </w:style>
  <w:style w:type="table" w:styleId="1043" w:customStyle="1">
    <w:name w:val="Grid Table 6 Colorful - Accent 6"/>
    <w:basedOn w:val="954"/>
    <w:uiPriority w:val="99"/>
    <w:qFormat/>
    <w:tblPr/>
  </w:style>
  <w:style w:type="table" w:styleId="1044" w:customStyle="1">
    <w:name w:val="List Table 3 - Accent 5"/>
    <w:basedOn w:val="954"/>
    <w:uiPriority w:val="99"/>
    <w:qFormat/>
    <w:tblPr/>
  </w:style>
  <w:style w:type="table" w:styleId="1045" w:customStyle="1">
    <w:name w:val="Grid Table 4 - Accent 6"/>
    <w:basedOn w:val="954"/>
    <w:uiPriority w:val="59"/>
    <w:qFormat/>
    <w:tblPr/>
  </w:style>
  <w:style w:type="table" w:styleId="1046" w:customStyle="1">
    <w:name w:val="Bordered - Accent 3"/>
    <w:basedOn w:val="954"/>
    <w:uiPriority w:val="99"/>
    <w:qFormat/>
    <w:tblPr/>
  </w:style>
  <w:style w:type="table" w:styleId="1047" w:customStyle="1">
    <w:name w:val="List Table 4 - Accent 3"/>
    <w:basedOn w:val="954"/>
    <w:uiPriority w:val="99"/>
    <w:qFormat/>
    <w:tblPr/>
  </w:style>
  <w:style w:type="table" w:styleId="1048" w:customStyle="1">
    <w:name w:val="网格表 5 深色1"/>
    <w:basedOn w:val="954"/>
    <w:uiPriority w:val="99"/>
    <w:qFormat/>
    <w:tblPr/>
  </w:style>
  <w:style w:type="table" w:styleId="1049" w:customStyle="1">
    <w:name w:val="Grid Table 2 - Accent 6"/>
    <w:basedOn w:val="954"/>
    <w:uiPriority w:val="99"/>
    <w:qFormat/>
    <w:tblPr/>
  </w:style>
  <w:style w:type="table" w:styleId="1050" w:customStyle="1">
    <w:name w:val="List Table 4 - Accent 4"/>
    <w:basedOn w:val="954"/>
    <w:uiPriority w:val="99"/>
    <w:qFormat/>
    <w:tblPr/>
  </w:style>
  <w:style w:type="table" w:styleId="1051" w:customStyle="1">
    <w:name w:val="Lined - Accent 3"/>
    <w:basedOn w:val="954"/>
    <w:uiPriority w:val="99"/>
    <w:qFormat/>
    <w:rPr>
      <w:color w:val="404040"/>
    </w:rPr>
    <w:tblPr/>
  </w:style>
  <w:style w:type="table" w:styleId="1052" w:customStyle="1">
    <w:name w:val="Grid Table 2 - Accent 2"/>
    <w:basedOn w:val="954"/>
    <w:uiPriority w:val="99"/>
    <w:qFormat/>
    <w:tblPr/>
  </w:style>
  <w:style w:type="table" w:styleId="1053" w:customStyle="1">
    <w:name w:val="Grid Table 7 Colorful - Accent 3"/>
    <w:basedOn w:val="954"/>
    <w:uiPriority w:val="99"/>
    <w:qFormat/>
    <w:tblPr/>
  </w:style>
  <w:style w:type="table" w:styleId="1054" w:customStyle="1">
    <w:name w:val="网格表 31"/>
    <w:basedOn w:val="954"/>
    <w:uiPriority w:val="99"/>
    <w:qFormat/>
    <w:tblPr/>
  </w:style>
  <w:style w:type="table" w:styleId="1055" w:customStyle="1">
    <w:name w:val="List Table 5 Dark - Accent 2"/>
    <w:basedOn w:val="954"/>
    <w:uiPriority w:val="99"/>
    <w:qFormat/>
    <w:tblPr/>
  </w:style>
  <w:style w:type="table" w:styleId="1056" w:customStyle="1">
    <w:name w:val="List Table 1 Light - Accent 5"/>
    <w:basedOn w:val="954"/>
    <w:uiPriority w:val="99"/>
    <w:qFormat/>
    <w:tblPr/>
  </w:style>
  <w:style w:type="table" w:styleId="1057" w:customStyle="1">
    <w:name w:val="List Table 1 Light - Accent 2"/>
    <w:basedOn w:val="954"/>
    <w:uiPriority w:val="99"/>
    <w:qFormat/>
    <w:tblPr/>
  </w:style>
  <w:style w:type="table" w:styleId="1058" w:customStyle="1">
    <w:name w:val="无格式表格 31"/>
    <w:basedOn w:val="954"/>
    <w:uiPriority w:val="99"/>
    <w:qFormat/>
    <w:tblPr/>
  </w:style>
  <w:style w:type="table" w:styleId="1059" w:customStyle="1">
    <w:name w:val="Bordered &amp; Lined - Accent 2"/>
    <w:basedOn w:val="954"/>
    <w:uiPriority w:val="99"/>
    <w:qFormat/>
    <w:rPr>
      <w:color w:val="404040"/>
    </w:rPr>
    <w:tblPr/>
  </w:style>
  <w:style w:type="table" w:styleId="1060" w:customStyle="1">
    <w:name w:val="网格表 1 浅色1"/>
    <w:basedOn w:val="954"/>
    <w:uiPriority w:val="99"/>
    <w:qFormat/>
    <w:tblPr/>
  </w:style>
  <w:style w:type="table" w:styleId="1061" w:customStyle="1">
    <w:name w:val="网格表 6 彩色1"/>
    <w:basedOn w:val="954"/>
    <w:uiPriority w:val="99"/>
    <w:qFormat/>
    <w:tblPr/>
  </w:style>
  <w:style w:type="table" w:styleId="1062" w:customStyle="1">
    <w:name w:val="List Table 1 Light - Accent 3"/>
    <w:basedOn w:val="954"/>
    <w:uiPriority w:val="99"/>
    <w:qFormat/>
    <w:tblPr/>
  </w:style>
  <w:style w:type="table" w:styleId="1063" w:customStyle="1">
    <w:name w:val="Lined - Accent 2"/>
    <w:basedOn w:val="954"/>
    <w:uiPriority w:val="99"/>
    <w:qFormat/>
    <w:rPr>
      <w:color w:val="404040"/>
    </w:rPr>
    <w:tblPr/>
  </w:style>
  <w:style w:type="table" w:styleId="1064" w:customStyle="1">
    <w:name w:val="List Table 6 Colorful - Accent 4"/>
    <w:basedOn w:val="954"/>
    <w:uiPriority w:val="99"/>
    <w:qFormat/>
    <w:tblPr/>
  </w:style>
  <w:style w:type="table" w:styleId="1065" w:customStyle="1">
    <w:name w:val="Grid Table 6 Colorful - Accent 3"/>
    <w:basedOn w:val="954"/>
    <w:uiPriority w:val="99"/>
    <w:qFormat/>
    <w:tblPr/>
  </w:style>
  <w:style w:type="table" w:styleId="1066" w:customStyle="1">
    <w:name w:val="List Table 5 Dark - Accent 5"/>
    <w:basedOn w:val="954"/>
    <w:uiPriority w:val="99"/>
    <w:qFormat/>
    <w:tblPr/>
  </w:style>
  <w:style w:type="table" w:styleId="1067" w:customStyle="1">
    <w:name w:val="无格式表格 51"/>
    <w:basedOn w:val="954"/>
    <w:uiPriority w:val="99"/>
    <w:qFormat/>
    <w:tblPr/>
  </w:style>
  <w:style w:type="table" w:styleId="1068" w:customStyle="1">
    <w:name w:val="List Table 7 Colorful - Accent 3"/>
    <w:basedOn w:val="954"/>
    <w:uiPriority w:val="99"/>
    <w:qFormat/>
    <w:tblPr/>
  </w:style>
  <w:style w:type="table" w:styleId="1069" w:customStyle="1">
    <w:name w:val="Grid Table 4 - Accent 2"/>
    <w:basedOn w:val="954"/>
    <w:uiPriority w:val="59"/>
    <w:qFormat/>
    <w:tblPr/>
  </w:style>
  <w:style w:type="table" w:styleId="1070" w:customStyle="1">
    <w:name w:val="List Table 3 - Accent 2"/>
    <w:basedOn w:val="954"/>
    <w:uiPriority w:val="99"/>
    <w:qFormat/>
    <w:tblPr/>
  </w:style>
  <w:style w:type="table" w:styleId="1071" w:customStyle="1">
    <w:name w:val="网格表 41"/>
    <w:basedOn w:val="954"/>
    <w:uiPriority w:val="59"/>
    <w:qFormat/>
    <w:tblPr/>
  </w:style>
  <w:style w:type="table" w:styleId="1072" w:customStyle="1">
    <w:name w:val="Bordered &amp; Lined - Accent 3"/>
    <w:basedOn w:val="954"/>
    <w:uiPriority w:val="99"/>
    <w:qFormat/>
    <w:rPr>
      <w:color w:val="404040"/>
    </w:rPr>
    <w:tblPr/>
  </w:style>
  <w:style w:type="table" w:styleId="1073" w:customStyle="1">
    <w:name w:val="List Table 4 - Accent 6"/>
    <w:basedOn w:val="954"/>
    <w:uiPriority w:val="99"/>
    <w:qFormat/>
    <w:tblPr/>
  </w:style>
  <w:style w:type="table" w:styleId="1074" w:customStyle="1">
    <w:name w:val="Grid Table 5 Dark - Accent 6"/>
    <w:basedOn w:val="954"/>
    <w:uiPriority w:val="99"/>
    <w:qFormat/>
    <w:tblPr/>
  </w:style>
  <w:style w:type="table" w:styleId="1075" w:customStyle="1">
    <w:name w:val="Lined - Accent 6"/>
    <w:basedOn w:val="954"/>
    <w:uiPriority w:val="99"/>
    <w:qFormat/>
    <w:rPr>
      <w:color w:val="404040"/>
    </w:rPr>
    <w:tblPr/>
  </w:style>
  <w:style w:type="table" w:styleId="1076" w:customStyle="1">
    <w:name w:val="List Table 6 Colorful - Accent 5"/>
    <w:basedOn w:val="954"/>
    <w:uiPriority w:val="99"/>
    <w:qFormat/>
    <w:tblPr/>
  </w:style>
  <w:style w:type="table" w:styleId="1077" w:customStyle="1">
    <w:name w:val="List Table 7 Colorful - Accent 1"/>
    <w:basedOn w:val="954"/>
    <w:uiPriority w:val="99"/>
    <w:qFormat/>
    <w:tblPr/>
  </w:style>
  <w:style w:type="table" w:styleId="1078" w:customStyle="1">
    <w:name w:val="Bordered &amp; Lined - Accent 1"/>
    <w:basedOn w:val="954"/>
    <w:uiPriority w:val="99"/>
    <w:qFormat/>
    <w:rPr>
      <w:color w:val="404040"/>
    </w:rPr>
    <w:tblPr/>
  </w:style>
  <w:style w:type="table" w:styleId="1079" w:customStyle="1">
    <w:name w:val="List Table 1 Light - Accent 6"/>
    <w:basedOn w:val="954"/>
    <w:uiPriority w:val="99"/>
    <w:qFormat/>
    <w:tblPr/>
  </w:style>
  <w:style w:type="table" w:styleId="1080" w:customStyle="1">
    <w:name w:val="Grid Table 6 Colorful - Accent 2"/>
    <w:basedOn w:val="954"/>
    <w:uiPriority w:val="99"/>
    <w:qFormat/>
    <w:tblPr/>
  </w:style>
  <w:style w:type="table" w:styleId="1081" w:customStyle="1">
    <w:name w:val="Bordered"/>
    <w:basedOn w:val="954"/>
    <w:uiPriority w:val="99"/>
    <w:qFormat/>
    <w:tblPr/>
  </w:style>
  <w:style w:type="table" w:styleId="1082" w:customStyle="1">
    <w:name w:val="网格表 7 彩色1"/>
    <w:basedOn w:val="954"/>
    <w:uiPriority w:val="99"/>
    <w:qFormat/>
    <w:tblPr/>
  </w:style>
  <w:style w:type="table" w:styleId="1083" w:customStyle="1">
    <w:name w:val="Grid Table 1 Light - Accent 4"/>
    <w:basedOn w:val="954"/>
    <w:uiPriority w:val="99"/>
    <w:qFormat/>
    <w:tblPr/>
  </w:style>
  <w:style w:type="table" w:styleId="1084" w:customStyle="1">
    <w:name w:val="List Table 3 - Accent 1"/>
    <w:basedOn w:val="954"/>
    <w:uiPriority w:val="99"/>
    <w:qFormat/>
    <w:tblPr/>
  </w:style>
  <w:style w:type="table" w:styleId="1085" w:customStyle="1">
    <w:name w:val="Grid Table 3 - Accent 6"/>
    <w:basedOn w:val="954"/>
    <w:uiPriority w:val="99"/>
    <w:qFormat/>
    <w:tblPr/>
  </w:style>
  <w:style w:type="table" w:styleId="1086" w:customStyle="1">
    <w:name w:val="Grid Table 3 - Accent 1"/>
    <w:basedOn w:val="954"/>
    <w:uiPriority w:val="99"/>
    <w:qFormat/>
    <w:tblPr/>
  </w:style>
  <w:style w:type="table" w:styleId="1087" w:customStyle="1">
    <w:name w:val="List Table 4 - Accent 5"/>
    <w:basedOn w:val="954"/>
    <w:uiPriority w:val="99"/>
    <w:qFormat/>
    <w:tblPr/>
  </w:style>
  <w:style w:type="table" w:styleId="1088" w:customStyle="1">
    <w:name w:val="Grid Table 7 Colorful - Accent 1"/>
    <w:basedOn w:val="954"/>
    <w:uiPriority w:val="99"/>
    <w:qFormat/>
    <w:tblPr/>
  </w:style>
  <w:style w:type="table" w:styleId="1089" w:customStyle="1">
    <w:name w:val="List Table 2 - Accent 6"/>
    <w:basedOn w:val="954"/>
    <w:uiPriority w:val="99"/>
    <w:qFormat/>
    <w:tblPr/>
  </w:style>
  <w:style w:type="table" w:styleId="1090" w:customStyle="1">
    <w:name w:val="List Table 6 Colorful - Accent 2"/>
    <w:basedOn w:val="954"/>
    <w:uiPriority w:val="99"/>
    <w:qFormat/>
    <w:tblPr/>
  </w:style>
  <w:style w:type="table" w:styleId="1091" w:customStyle="1">
    <w:name w:val="Bordered &amp; Lined - Accent 6"/>
    <w:basedOn w:val="954"/>
    <w:uiPriority w:val="99"/>
    <w:qFormat/>
    <w:rPr>
      <w:color w:val="404040"/>
    </w:rPr>
    <w:tblPr/>
  </w:style>
  <w:style w:type="table" w:styleId="1092" w:customStyle="1">
    <w:name w:val="Bordered - Accent 5"/>
    <w:basedOn w:val="954"/>
    <w:uiPriority w:val="99"/>
    <w:qFormat/>
    <w:tblPr/>
  </w:style>
  <w:style w:type="table" w:styleId="1093" w:customStyle="1">
    <w:name w:val="List Table 2 - Accent 4"/>
    <w:basedOn w:val="954"/>
    <w:uiPriority w:val="99"/>
    <w:qFormat/>
    <w:tblPr/>
  </w:style>
  <w:style w:type="table" w:styleId="1094" w:customStyle="1">
    <w:name w:val="List Table 3 - Accent 6"/>
    <w:basedOn w:val="954"/>
    <w:uiPriority w:val="99"/>
    <w:qFormat/>
    <w:tblPr/>
  </w:style>
  <w:style w:type="table" w:styleId="1095" w:customStyle="1">
    <w:name w:val="List Table 2 - Accent 3"/>
    <w:basedOn w:val="954"/>
    <w:uiPriority w:val="99"/>
    <w:qFormat/>
    <w:tblPr/>
  </w:style>
  <w:style w:type="table" w:styleId="1096" w:customStyle="1">
    <w:name w:val="List Table 5 Dark - Accent 3"/>
    <w:basedOn w:val="954"/>
    <w:uiPriority w:val="99"/>
    <w:qFormat/>
    <w:tblPr/>
  </w:style>
  <w:style w:type="table" w:styleId="1097" w:customStyle="1">
    <w:name w:val="无格式表格 41"/>
    <w:basedOn w:val="954"/>
    <w:uiPriority w:val="99"/>
    <w:qFormat/>
    <w:tblPr/>
  </w:style>
  <w:style w:type="table" w:styleId="1098" w:customStyle="1">
    <w:name w:val="Grid Table 7 Colorful - Accent 2"/>
    <w:basedOn w:val="954"/>
    <w:uiPriority w:val="99"/>
    <w:qFormat/>
    <w:tblPr/>
  </w:style>
  <w:style w:type="table" w:styleId="1099" w:customStyle="1">
    <w:name w:val="Grid Table 3 - Accent 5"/>
    <w:basedOn w:val="954"/>
    <w:uiPriority w:val="99"/>
    <w:qFormat/>
    <w:tblPr/>
  </w:style>
  <w:style w:type="table" w:styleId="1100" w:customStyle="1">
    <w:name w:val="Grid Table 2 - Accent 3"/>
    <w:basedOn w:val="954"/>
    <w:uiPriority w:val="99"/>
    <w:qFormat/>
    <w:tblPr/>
  </w:style>
  <w:style w:type="table" w:styleId="1101" w:customStyle="1">
    <w:name w:val="List Table 2 - Accent 5"/>
    <w:basedOn w:val="954"/>
    <w:uiPriority w:val="99"/>
    <w:qFormat/>
    <w:tblPr/>
  </w:style>
  <w:style w:type="table" w:styleId="1102" w:customStyle="1">
    <w:name w:val="Bordered - Accent 1"/>
    <w:basedOn w:val="954"/>
    <w:uiPriority w:val="99"/>
    <w:qFormat/>
    <w:tblPr/>
  </w:style>
  <w:style w:type="table" w:styleId="1103" w:customStyle="1">
    <w:name w:val="List Table 1 Light - Accent 4"/>
    <w:basedOn w:val="954"/>
    <w:uiPriority w:val="99"/>
    <w:qFormat/>
    <w:tblPr/>
  </w:style>
  <w:style w:type="table" w:styleId="1104" w:customStyle="1">
    <w:name w:val="Grid Table 4 - Accent 5"/>
    <w:basedOn w:val="954"/>
    <w:uiPriority w:val="59"/>
    <w:qFormat/>
    <w:tblPr/>
  </w:style>
  <w:style w:type="table" w:styleId="1105" w:customStyle="1">
    <w:name w:val="无格式表格 21"/>
    <w:basedOn w:val="954"/>
    <w:uiPriority w:val="59"/>
    <w:qFormat/>
    <w:tblPr/>
  </w:style>
  <w:style w:type="table" w:styleId="1106" w:customStyle="1">
    <w:name w:val="Grid Table 5 Dark - Accent 3"/>
    <w:basedOn w:val="954"/>
    <w:uiPriority w:val="99"/>
    <w:qFormat/>
    <w:tblPr/>
  </w:style>
  <w:style w:type="table" w:styleId="1107" w:customStyle="1">
    <w:name w:val="Grid Table 3 - Accent 4"/>
    <w:basedOn w:val="954"/>
    <w:uiPriority w:val="99"/>
    <w:qFormat/>
    <w:tblPr/>
  </w:style>
  <w:style w:type="table" w:styleId="1108" w:customStyle="1">
    <w:name w:val="清单表 21"/>
    <w:basedOn w:val="954"/>
    <w:uiPriority w:val="99"/>
    <w:qFormat/>
    <w:tblPr/>
  </w:style>
  <w:style w:type="table" w:styleId="1109" w:customStyle="1">
    <w:name w:val="Grid Table 7 Colorful - Accent 4"/>
    <w:basedOn w:val="954"/>
    <w:uiPriority w:val="99"/>
    <w:qFormat/>
    <w:tblPr/>
  </w:style>
  <w:style w:type="table" w:styleId="1110" w:customStyle="1">
    <w:name w:val="Grid Table 1 Light - Accent 6"/>
    <w:basedOn w:val="954"/>
    <w:uiPriority w:val="99"/>
    <w:qFormat/>
    <w:tblPr/>
  </w:style>
  <w:style w:type="table" w:styleId="1111" w:customStyle="1">
    <w:name w:val="Bordered &amp; Lined - Accent"/>
    <w:basedOn w:val="954"/>
    <w:uiPriority w:val="99"/>
    <w:qFormat/>
    <w:rPr>
      <w:color w:val="404040"/>
    </w:rPr>
    <w:tblPr/>
  </w:style>
  <w:style w:type="table" w:styleId="1112" w:customStyle="1">
    <w:name w:val="清单表 41"/>
    <w:basedOn w:val="954"/>
    <w:uiPriority w:val="99"/>
    <w:qFormat/>
    <w:tblPr/>
  </w:style>
  <w:style w:type="table" w:styleId="1113" w:customStyle="1">
    <w:name w:val="List Table 7 Colorful - Accent 2"/>
    <w:basedOn w:val="954"/>
    <w:uiPriority w:val="99"/>
    <w:qFormat/>
    <w:tblPr/>
  </w:style>
  <w:style w:type="table" w:styleId="1114" w:customStyle="1">
    <w:name w:val="Grid Table 7 Colorful - Accent 5"/>
    <w:basedOn w:val="954"/>
    <w:uiPriority w:val="99"/>
    <w:qFormat/>
    <w:tblPr/>
  </w:style>
  <w:style w:type="table" w:styleId="1115" w:customStyle="1">
    <w:name w:val="Lined - Accent"/>
    <w:basedOn w:val="954"/>
    <w:uiPriority w:val="99"/>
    <w:qFormat/>
    <w:rPr>
      <w:color w:val="404040"/>
    </w:rPr>
    <w:tblPr/>
  </w:style>
  <w:style w:type="table" w:styleId="1116" w:customStyle="1">
    <w:name w:val="无格式表格 11"/>
    <w:basedOn w:val="954"/>
    <w:uiPriority w:val="59"/>
    <w:qFormat/>
    <w:tblPr/>
  </w:style>
  <w:style w:type="table" w:styleId="1117" w:customStyle="1">
    <w:name w:val="Grid Table 6 Colorful - Accent 5"/>
    <w:basedOn w:val="954"/>
    <w:uiPriority w:val="99"/>
    <w:qFormat/>
    <w:tblPr/>
  </w:style>
  <w:style w:type="table" w:styleId="1118" w:customStyle="1">
    <w:name w:val="List Table 7 Colorful - Accent 4"/>
    <w:basedOn w:val="954"/>
    <w:uiPriority w:val="99"/>
    <w:qFormat/>
    <w:tblPr/>
  </w:style>
  <w:style w:type="table" w:styleId="1119" w:customStyle="1">
    <w:name w:val="List Table 6 Colorful - Accent 3"/>
    <w:basedOn w:val="954"/>
    <w:uiPriority w:val="99"/>
    <w:qFormat/>
    <w:tblPr/>
  </w:style>
  <w:style w:type="table" w:styleId="1120" w:customStyle="1">
    <w:name w:val="List Table 7 Colorful - Accent 6"/>
    <w:basedOn w:val="954"/>
    <w:uiPriority w:val="99"/>
    <w:qFormat/>
    <w:tblPr/>
  </w:style>
  <w:style w:type="table" w:styleId="1121" w:customStyle="1">
    <w:name w:val="清单表 31"/>
    <w:basedOn w:val="954"/>
    <w:uiPriority w:val="99"/>
    <w:qFormat/>
    <w:tblPr/>
  </w:style>
  <w:style w:type="table" w:styleId="1122" w:customStyle="1">
    <w:name w:val="Grid Table 5 Dark - Accent 5"/>
    <w:basedOn w:val="954"/>
    <w:uiPriority w:val="99"/>
    <w:qFormat/>
    <w:tblPr/>
  </w:style>
  <w:style w:type="table" w:styleId="1123" w:customStyle="1">
    <w:name w:val="List Table 5 Dark - Accent 1"/>
    <w:basedOn w:val="954"/>
    <w:uiPriority w:val="99"/>
    <w:qFormat/>
    <w:tblPr/>
  </w:style>
  <w:style w:type="table" w:styleId="1124" w:customStyle="1">
    <w:name w:val="Bordered - Accent 2"/>
    <w:basedOn w:val="954"/>
    <w:uiPriority w:val="99"/>
    <w:qFormat/>
    <w:tblPr/>
  </w:style>
  <w:style w:type="table" w:styleId="1125" w:customStyle="1">
    <w:name w:val="List Table 1 Light - Accent 1"/>
    <w:basedOn w:val="954"/>
    <w:uiPriority w:val="99"/>
    <w:qFormat/>
    <w:tblPr/>
  </w:style>
  <w:style w:type="table" w:styleId="1126" w:customStyle="1">
    <w:name w:val="List Table 3 - Accent 4"/>
    <w:basedOn w:val="954"/>
    <w:uiPriority w:val="99"/>
    <w:qFormat/>
    <w:tblPr/>
  </w:style>
  <w:style w:type="table" w:styleId="1127" w:customStyle="1">
    <w:name w:val="Grid Table 6 Colorful - Accent 4"/>
    <w:basedOn w:val="954"/>
    <w:uiPriority w:val="99"/>
    <w:qFormat/>
    <w:tblPr/>
  </w:style>
  <w:style w:type="table" w:styleId="1128" w:customStyle="1">
    <w:name w:val="Grid Table 4 - Accent 4"/>
    <w:basedOn w:val="954"/>
    <w:uiPriority w:val="59"/>
    <w:qFormat/>
    <w:tblPr/>
  </w:style>
  <w:style w:type="table" w:styleId="1129" w:customStyle="1">
    <w:name w:val="List Table 4 - Accent 1"/>
    <w:basedOn w:val="954"/>
    <w:uiPriority w:val="99"/>
    <w:qFormat/>
    <w:tblPr/>
  </w:style>
  <w:style w:type="table" w:styleId="1130" w:customStyle="1">
    <w:name w:val="Grid Table 7 Colorful - Accent 6"/>
    <w:basedOn w:val="954"/>
    <w:uiPriority w:val="99"/>
    <w:qFormat/>
    <w:tblPr/>
  </w:style>
  <w:style w:type="table" w:styleId="1131" w:customStyle="1">
    <w:name w:val="Grid Table 2 - Accent 4"/>
    <w:basedOn w:val="954"/>
    <w:uiPriority w:val="99"/>
    <w:qFormat/>
    <w:tblPr/>
  </w:style>
  <w:style w:type="table" w:styleId="1132" w:customStyle="1">
    <w:name w:val="Table Grid Light"/>
    <w:basedOn w:val="954"/>
    <w:uiPriority w:val="59"/>
    <w:qFormat/>
    <w:tblPr/>
  </w:style>
  <w:style w:type="table" w:styleId="1133" w:customStyle="1">
    <w:name w:val="Grid Table 4 - Accent 1"/>
    <w:basedOn w:val="954"/>
    <w:uiPriority w:val="59"/>
    <w:qFormat/>
    <w:tblPr/>
  </w:style>
  <w:style w:type="table" w:styleId="1134" w:customStyle="1">
    <w:name w:val="Grid Table 6 Colorful - Accent 1"/>
    <w:basedOn w:val="954"/>
    <w:uiPriority w:val="99"/>
    <w:qFormat/>
    <w:tblPr/>
  </w:style>
  <w:style w:type="table" w:styleId="1135" w:customStyle="1">
    <w:name w:val="List Table 7 Colorful - Accent 5"/>
    <w:basedOn w:val="954"/>
    <w:uiPriority w:val="99"/>
    <w:qFormat/>
    <w:tblPr/>
  </w:style>
  <w:style w:type="table" w:styleId="1136" w:customStyle="1">
    <w:name w:val="List Table 5 Dark - Accent 4"/>
    <w:basedOn w:val="954"/>
    <w:uiPriority w:val="99"/>
    <w:qFormat/>
    <w:tblPr/>
  </w:style>
  <w:style w:type="table" w:styleId="1137" w:customStyle="1">
    <w:name w:val="网格表 21"/>
    <w:basedOn w:val="954"/>
    <w:uiPriority w:val="99"/>
    <w:qFormat/>
    <w:tblPr/>
  </w:style>
  <w:style w:type="table" w:styleId="1138" w:customStyle="1">
    <w:name w:val="Grid Table 4 - Accent 3"/>
    <w:basedOn w:val="954"/>
    <w:uiPriority w:val="59"/>
    <w:qFormat/>
    <w:tblPr/>
  </w:style>
  <w:style w:type="table" w:styleId="1139" w:customStyle="1">
    <w:name w:val="Lined - Accent 1"/>
    <w:basedOn w:val="954"/>
    <w:uiPriority w:val="99"/>
    <w:qFormat/>
    <w:rPr>
      <w:color w:val="404040"/>
    </w:rPr>
    <w:tblPr/>
  </w:style>
  <w:style w:type="table" w:styleId="1140" w:customStyle="1">
    <w:name w:val="Grid Table 3 - Accent 2"/>
    <w:basedOn w:val="954"/>
    <w:uiPriority w:val="99"/>
    <w:qFormat/>
    <w:tblPr/>
  </w:style>
  <w:style w:type="table" w:styleId="1141" w:customStyle="1">
    <w:name w:val="清单表 7 彩色1"/>
    <w:basedOn w:val="954"/>
    <w:uiPriority w:val="99"/>
    <w:qFormat/>
    <w:tblPr/>
  </w:style>
  <w:style w:type="table" w:styleId="1142" w:customStyle="1">
    <w:name w:val="Lined - Accent 4"/>
    <w:basedOn w:val="954"/>
    <w:uiPriority w:val="99"/>
    <w:qFormat/>
    <w:rPr>
      <w:color w:val="404040"/>
    </w:rPr>
    <w:tblPr/>
  </w:style>
  <w:style w:type="table" w:styleId="1143" w:customStyle="1">
    <w:name w:val="Grid Table 5 Dark- Accent 4"/>
    <w:basedOn w:val="954"/>
    <w:uiPriority w:val="99"/>
    <w:qFormat/>
    <w:tblPr/>
  </w:style>
  <w:style w:type="table" w:styleId="1144" w:customStyle="1">
    <w:name w:val="Bordered &amp; Lined - Accent 5"/>
    <w:basedOn w:val="954"/>
    <w:uiPriority w:val="99"/>
    <w:qFormat/>
    <w:rPr>
      <w:color w:val="404040"/>
    </w:rPr>
    <w:tblPr/>
  </w:style>
  <w:style w:type="table" w:styleId="1145" w:customStyle="1">
    <w:name w:val="List Table 6 Colorful - Accent 6"/>
    <w:basedOn w:val="954"/>
    <w:uiPriority w:val="99"/>
    <w:qFormat/>
    <w:tblPr/>
  </w:style>
  <w:style w:type="character" w:styleId="1146" w:customStyle="1">
    <w:name w:val="NormalCharacter"/>
    <w:uiPriority w:val="0"/>
    <w:semiHidden/>
    <w:qFormat/>
    <w:rPr>
      <w:sz w:val="28"/>
      <w:lang w:val="en-US" w:eastAsia="zh-CN" w:bidi="ar-SA"/>
    </w:rPr>
  </w:style>
  <w:style w:type="paragraph" w:styleId="1147" w:customStyle="1">
    <w:name w:val="首行缩进"/>
    <w:basedOn w:val="842"/>
    <w:next w:val="798"/>
    <w:uiPriority w:val="0"/>
    <w:qFormat/>
    <w:pPr>
      <w:ind w:firstLine="480"/>
    </w:pPr>
    <w:rPr>
      <w:sz w:val="20"/>
      <w:szCs w:val="20"/>
      <w:lang w:val="zh-CN"/>
    </w:rPr>
  </w:style>
  <w:style w:type="paragraph" w:styleId="1148" w:customStyle="1">
    <w:name w:val="纯文本2"/>
    <w:basedOn w:val="846"/>
    <w:uiPriority w:val="0"/>
    <w:qFormat/>
    <w:rPr>
      <w:rFonts w:ascii="宋体" w:hAnsi="Courier New"/>
      <w:sz w:val="20"/>
      <w:szCs w:val="20"/>
    </w:rPr>
  </w:style>
  <w:style w:type="table" w:styleId="1149" w:customStyle="1">
    <w:name w:val="Table Normal"/>
    <w:uiPriority w:val="0"/>
    <w:unhideWhenUsed/>
    <w:qFormat/>
    <w:tblPr>
      <w:tblCellMar>
        <w:left w:w="0" w:type="dxa"/>
        <w:top w:w="0" w:type="dxa"/>
        <w:right w:w="0" w:type="dxa"/>
        <w:bottom w:w="0" w:type="dxa"/>
      </w:tblCellMar>
    </w:tbl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孙玉琦</cp:lastModifiedBy>
  <cp:revision>14</cp:revision>
  <dcterms:created xsi:type="dcterms:W3CDTF">2023-11-17T14:31:00Z</dcterms:created>
  <dcterms:modified xsi:type="dcterms:W3CDTF">2025-12-05T03:23:11Z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35D8CE3029A14DF584894AF8EC258F8A_13</vt:lpwstr>
  </property>
  <property fmtid="{D5CDD505-2E9C-101B-9397-08002B2CF9AE}" pid="4" name="KSOTemplateDocerSaveRecord">
    <vt:lpwstr>eyJoZGlkIjoiMTM4ZWI2MTk2ZTM3MTgxMTEzMDE4ZWE1ZmExYjViNmIiLCJ1c2VySWQiOiIxMTQwMzg1MzY5In0=</vt:lpwstr>
  </property>
</Properties>
</file>